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AA" w:rsidRPr="00992E60" w:rsidRDefault="00D02DAA" w:rsidP="00D02DAA">
      <w:pPr>
        <w:rPr>
          <w:rFonts w:ascii="仿宋_GB2312" w:eastAsia="仿宋_GB2312" w:hAnsi="仿宋" w:cs="宋体" w:hint="eastAsia"/>
          <w:color w:val="000000"/>
          <w:kern w:val="0"/>
          <w:sz w:val="32"/>
          <w:szCs w:val="32"/>
        </w:rPr>
      </w:pPr>
      <w:r w:rsidRPr="00992E60">
        <w:rPr>
          <w:rFonts w:ascii="仿宋_GB2312" w:eastAsia="仿宋_GB2312" w:hAnsi="仿宋" w:cs="宋体" w:hint="eastAsia"/>
          <w:color w:val="000000"/>
          <w:kern w:val="0"/>
          <w:sz w:val="32"/>
          <w:szCs w:val="32"/>
        </w:rPr>
        <w:t>附件7：</w:t>
      </w:r>
    </w:p>
    <w:p w:rsidR="00D02DAA" w:rsidRPr="003C1209" w:rsidRDefault="00D02DAA" w:rsidP="00D02DAA">
      <w:pPr>
        <w:rPr>
          <w:rFonts w:ascii="仿宋_GB2312" w:eastAsia="仿宋_GB2312" w:hAnsi="仿宋" w:hint="eastAsia"/>
          <w:sz w:val="30"/>
          <w:szCs w:val="30"/>
        </w:rPr>
      </w:pPr>
    </w:p>
    <w:p w:rsidR="00D02DAA" w:rsidRPr="003C1209" w:rsidRDefault="00D02DAA" w:rsidP="00D02DAA">
      <w:pPr>
        <w:pStyle w:val="a5"/>
        <w:snapToGrid w:val="0"/>
        <w:spacing w:line="324" w:lineRule="auto"/>
        <w:ind w:leftChars="0" w:left="0"/>
        <w:jc w:val="center"/>
        <w:rPr>
          <w:rFonts w:ascii="仿宋_GB2312" w:eastAsia="仿宋_GB2312" w:hAnsi="仿宋" w:hint="eastAsia"/>
          <w:b/>
          <w:sz w:val="36"/>
          <w:szCs w:val="36"/>
        </w:rPr>
      </w:pPr>
      <w:r w:rsidRPr="003C1209">
        <w:rPr>
          <w:rFonts w:ascii="仿宋_GB2312" w:eastAsia="仿宋_GB2312" w:hAnsi="仿宋" w:cs="宋体" w:hint="eastAsia"/>
          <w:b/>
          <w:sz w:val="36"/>
          <w:szCs w:val="36"/>
        </w:rPr>
        <w:t>专业学位硕士研究生培养方案、课程设置格式</w:t>
      </w:r>
    </w:p>
    <w:p w:rsidR="00D02DAA" w:rsidRPr="003C1209" w:rsidRDefault="00D02DAA" w:rsidP="00D02DAA">
      <w:pPr>
        <w:adjustRightInd w:val="0"/>
        <w:snapToGrid w:val="0"/>
        <w:spacing w:line="324" w:lineRule="auto"/>
        <w:ind w:firstLineChars="200" w:firstLine="640"/>
        <w:rPr>
          <w:rFonts w:ascii="仿宋_GB2312" w:eastAsia="仿宋_GB2312" w:hAnsi="仿宋" w:cs="宋体" w:hint="eastAsia"/>
          <w:b/>
          <w:sz w:val="32"/>
          <w:szCs w:val="32"/>
          <w:u w:val="single"/>
        </w:rPr>
      </w:pPr>
    </w:p>
    <w:p w:rsidR="00D02DAA" w:rsidRPr="003C1209" w:rsidRDefault="00D02DAA" w:rsidP="00D02DAA">
      <w:pPr>
        <w:adjustRightInd w:val="0"/>
        <w:snapToGrid w:val="0"/>
        <w:spacing w:line="324" w:lineRule="auto"/>
        <w:jc w:val="center"/>
        <w:rPr>
          <w:rFonts w:ascii="仿宋_GB2312" w:eastAsia="仿宋_GB2312" w:hAnsi="仿宋" w:cs="宋体" w:hint="eastAsia"/>
          <w:b/>
          <w:bCs/>
          <w:snapToGrid w:val="0"/>
          <w:kern w:val="0"/>
          <w:sz w:val="30"/>
          <w:szCs w:val="30"/>
        </w:rPr>
      </w:pPr>
      <w:r w:rsidRPr="003C1209">
        <w:rPr>
          <w:rFonts w:ascii="仿宋_GB2312" w:eastAsia="仿宋_GB2312" w:hAnsi="仿宋" w:cs="宋体" w:hint="eastAsia"/>
          <w:b/>
          <w:bCs/>
          <w:snapToGrid w:val="0"/>
          <w:kern w:val="0"/>
          <w:sz w:val="30"/>
          <w:szCs w:val="30"/>
          <w:u w:val="single"/>
        </w:rPr>
        <w:t xml:space="preserve">             </w:t>
      </w:r>
      <w:r w:rsidRPr="003C1209">
        <w:rPr>
          <w:rFonts w:ascii="仿宋_GB2312" w:eastAsia="仿宋_GB2312" w:hAnsi="仿宋" w:cs="宋体" w:hint="eastAsia"/>
          <w:b/>
          <w:bCs/>
          <w:snapToGrid w:val="0"/>
          <w:kern w:val="0"/>
          <w:sz w:val="30"/>
          <w:szCs w:val="30"/>
        </w:rPr>
        <w:t>专业（领域）学位研究生培养方案</w:t>
      </w:r>
    </w:p>
    <w:p w:rsidR="00D02DAA" w:rsidRPr="003C1209" w:rsidRDefault="00D02DAA" w:rsidP="00D02DAA">
      <w:pPr>
        <w:adjustRightInd w:val="0"/>
        <w:snapToGrid w:val="0"/>
        <w:spacing w:line="324" w:lineRule="auto"/>
        <w:jc w:val="center"/>
        <w:rPr>
          <w:rFonts w:ascii="仿宋_GB2312" w:eastAsia="仿宋_GB2312" w:hAnsi="仿宋" w:cs="宋体" w:hint="eastAsia"/>
          <w:b/>
          <w:bCs/>
          <w:snapToGrid w:val="0"/>
          <w:kern w:val="0"/>
          <w:sz w:val="30"/>
          <w:szCs w:val="30"/>
        </w:rPr>
      </w:pPr>
      <w:r w:rsidRPr="003C1209">
        <w:rPr>
          <w:rFonts w:ascii="仿宋_GB2312" w:eastAsia="仿宋_GB2312" w:hAnsi="仿宋" w:cs="宋体" w:hint="eastAsia"/>
          <w:b/>
          <w:bCs/>
          <w:snapToGrid w:val="0"/>
          <w:kern w:val="0"/>
          <w:sz w:val="30"/>
          <w:szCs w:val="30"/>
        </w:rPr>
        <w:t>（</w:t>
      </w:r>
      <w:r w:rsidRPr="003C1209">
        <w:rPr>
          <w:rFonts w:ascii="仿宋_GB2312" w:eastAsia="仿宋_GB2312" w:hAnsi="仿宋" w:cs="宋体" w:hint="eastAsia"/>
          <w:b/>
          <w:bCs/>
          <w:snapToGrid w:val="0"/>
          <w:kern w:val="0"/>
          <w:sz w:val="30"/>
          <w:szCs w:val="30"/>
          <w:u w:val="single"/>
        </w:rPr>
        <w:t xml:space="preserve">专业、领域代码：        </w:t>
      </w:r>
      <w:r w:rsidRPr="003C1209">
        <w:rPr>
          <w:rFonts w:ascii="仿宋_GB2312" w:eastAsia="仿宋_GB2312" w:hAnsi="仿宋" w:cs="宋体" w:hint="eastAsia"/>
          <w:b/>
          <w:bCs/>
          <w:snapToGrid w:val="0"/>
          <w:kern w:val="0"/>
          <w:sz w:val="30"/>
          <w:szCs w:val="30"/>
        </w:rPr>
        <w:t>）</w:t>
      </w:r>
      <w:r w:rsidRPr="003C1209">
        <w:rPr>
          <w:rFonts w:ascii="仿宋_GB2312" w:eastAsia="仿宋_GB2312" w:hAnsi="仿宋" w:hint="eastAsia"/>
          <w:b/>
          <w:sz w:val="30"/>
          <w:szCs w:val="30"/>
        </w:rPr>
        <w:t>（</w:t>
      </w:r>
      <w:r w:rsidRPr="003C1209">
        <w:rPr>
          <w:rFonts w:ascii="仿宋_GB2312" w:eastAsia="仿宋_GB2312" w:hAnsi="仿宋" w:hint="eastAsia"/>
          <w:b/>
          <w:sz w:val="30"/>
          <w:szCs w:val="30"/>
          <w:u w:val="single"/>
        </w:rPr>
        <w:t>专业、领域英文名称：三号，Times New Roman）</w:t>
      </w:r>
    </w:p>
    <w:p w:rsidR="00D02DAA" w:rsidRPr="003C1209" w:rsidRDefault="00D02DAA" w:rsidP="00D02DAA">
      <w:pPr>
        <w:adjustRightInd w:val="0"/>
        <w:snapToGrid w:val="0"/>
        <w:spacing w:line="324" w:lineRule="auto"/>
        <w:ind w:firstLineChars="200" w:firstLine="640"/>
        <w:rPr>
          <w:rFonts w:ascii="仿宋_GB2312" w:eastAsia="仿宋_GB2312" w:hAnsi="仿宋" w:cs="宋体" w:hint="eastAsia"/>
          <w:b/>
          <w:sz w:val="32"/>
          <w:szCs w:val="32"/>
        </w:rPr>
      </w:pPr>
    </w:p>
    <w:p w:rsidR="00D02DAA" w:rsidRPr="003C1209" w:rsidRDefault="00D02DAA" w:rsidP="00D02DAA">
      <w:pPr>
        <w:adjustRightInd w:val="0"/>
        <w:snapToGrid w:val="0"/>
        <w:spacing w:line="324" w:lineRule="auto"/>
        <w:ind w:firstLineChars="200" w:firstLine="640"/>
        <w:rPr>
          <w:rFonts w:ascii="仿宋_GB2312" w:eastAsia="仿宋_GB2312" w:hAnsi="仿宋" w:cs="宋体" w:hint="eastAsia"/>
          <w:b/>
          <w:sz w:val="32"/>
          <w:szCs w:val="32"/>
        </w:rPr>
      </w:pPr>
      <w:r w:rsidRPr="003C1209">
        <w:rPr>
          <w:rFonts w:ascii="仿宋_GB2312" w:eastAsia="仿宋_GB2312" w:hAnsi="仿宋" w:cs="宋体" w:hint="eastAsia"/>
          <w:b/>
          <w:sz w:val="32"/>
          <w:szCs w:val="32"/>
        </w:rPr>
        <w:t>一、培养目标</w:t>
      </w:r>
    </w:p>
    <w:p w:rsidR="00D02DAA" w:rsidRPr="003C1209" w:rsidRDefault="00D02DAA" w:rsidP="00D02DAA">
      <w:pPr>
        <w:adjustRightInd w:val="0"/>
        <w:snapToGrid w:val="0"/>
        <w:spacing w:line="324" w:lineRule="auto"/>
        <w:ind w:firstLineChars="200" w:firstLine="640"/>
        <w:rPr>
          <w:rFonts w:ascii="仿宋_GB2312" w:eastAsia="仿宋_GB2312" w:hAnsi="仿宋" w:cs="宋体" w:hint="eastAsia"/>
          <w:b/>
          <w:sz w:val="32"/>
          <w:szCs w:val="32"/>
        </w:rPr>
      </w:pPr>
      <w:r w:rsidRPr="003C1209">
        <w:rPr>
          <w:rFonts w:ascii="仿宋_GB2312" w:eastAsia="仿宋_GB2312" w:hAnsi="仿宋" w:hint="eastAsia"/>
          <w:sz w:val="32"/>
          <w:szCs w:val="32"/>
        </w:rPr>
        <w:t>参照各专业学位（领域）指导性培养方案并结合我校实际制定。</w:t>
      </w:r>
    </w:p>
    <w:p w:rsidR="00D02DAA" w:rsidRPr="003C1209" w:rsidRDefault="00D02DAA" w:rsidP="00D02DAA">
      <w:pPr>
        <w:adjustRightInd w:val="0"/>
        <w:snapToGrid w:val="0"/>
        <w:spacing w:line="324"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二、研究方向（领域）</w:t>
      </w:r>
    </w:p>
    <w:p w:rsidR="00D02DAA" w:rsidRPr="003C1209" w:rsidRDefault="00D02DAA" w:rsidP="00D02DAA">
      <w:pPr>
        <w:adjustRightInd w:val="0"/>
        <w:snapToGrid w:val="0"/>
        <w:spacing w:line="324"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设置</w:t>
      </w:r>
      <w:r w:rsidRPr="00307138">
        <w:rPr>
          <w:rFonts w:ascii="仿宋_GB2312" w:eastAsia="仿宋_GB2312" w:hAnsi="仿宋" w:hint="eastAsia"/>
          <w:sz w:val="32"/>
          <w:szCs w:val="32"/>
        </w:rPr>
        <w:t>的研究方向一般不超过5个</w:t>
      </w:r>
      <w:r w:rsidRPr="00307138">
        <w:rPr>
          <w:rFonts w:ascii="仿宋_GB2312" w:eastAsia="仿宋_GB2312" w:hAnsi="仿宋" w:cs="宋体" w:hint="eastAsia"/>
          <w:iCs/>
          <w:sz w:val="32"/>
          <w:szCs w:val="32"/>
        </w:rPr>
        <w:t>（应能满足学位点评估要求）</w:t>
      </w:r>
      <w:r w:rsidRPr="00307138">
        <w:rPr>
          <w:rFonts w:ascii="仿宋_GB2312" w:eastAsia="仿宋_GB2312" w:hAnsi="仿宋" w:hint="eastAsia"/>
          <w:sz w:val="32"/>
          <w:szCs w:val="32"/>
        </w:rPr>
        <w:t>，所设研究方向须写出主要研究内容简介（2</w:t>
      </w:r>
      <w:r w:rsidRPr="003C1209">
        <w:rPr>
          <w:rFonts w:ascii="仿宋_GB2312" w:eastAsia="仿宋_GB2312" w:hAnsi="仿宋" w:hint="eastAsia"/>
          <w:sz w:val="32"/>
          <w:szCs w:val="32"/>
        </w:rPr>
        <w:t>00字以内）。</w:t>
      </w:r>
    </w:p>
    <w:p w:rsidR="00D02DAA" w:rsidRPr="003C1209" w:rsidRDefault="00D02DAA" w:rsidP="00D02DAA">
      <w:pPr>
        <w:adjustRightInd w:val="0"/>
        <w:snapToGrid w:val="0"/>
        <w:spacing w:line="324" w:lineRule="auto"/>
        <w:ind w:firstLineChars="200" w:firstLine="640"/>
        <w:rPr>
          <w:rFonts w:ascii="仿宋_GB2312" w:eastAsia="仿宋_GB2312" w:hAnsi="仿宋" w:cs="宋体" w:hint="eastAsia"/>
          <w:b/>
          <w:sz w:val="32"/>
          <w:szCs w:val="32"/>
        </w:rPr>
      </w:pPr>
      <w:r w:rsidRPr="003C1209">
        <w:rPr>
          <w:rFonts w:ascii="仿宋_GB2312" w:eastAsia="仿宋_GB2312" w:hAnsi="仿宋" w:cs="宋体" w:hint="eastAsia"/>
          <w:b/>
          <w:sz w:val="32"/>
          <w:szCs w:val="32"/>
        </w:rPr>
        <w:t>三、学习年限</w:t>
      </w:r>
    </w:p>
    <w:p w:rsidR="00D02DAA" w:rsidRPr="003C1209" w:rsidRDefault="00D02DAA" w:rsidP="00D02DAA">
      <w:pPr>
        <w:adjustRightInd w:val="0"/>
        <w:snapToGrid w:val="0"/>
        <w:spacing w:line="324"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硕士专业学位研究生的培养实行弹性学制，学制为2～3年，参照各专业学位（领域）指导性培养方案并结合我校实际制定。该类研究生在校最长学习时间为5年。</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sz w:val="32"/>
          <w:szCs w:val="32"/>
        </w:rPr>
      </w:pPr>
      <w:r w:rsidRPr="003C1209">
        <w:rPr>
          <w:rFonts w:ascii="仿宋_GB2312" w:eastAsia="仿宋_GB2312" w:hAnsi="仿宋" w:cs="宋体" w:hint="eastAsia"/>
          <w:b/>
          <w:sz w:val="32"/>
          <w:szCs w:val="32"/>
        </w:rPr>
        <w:t>四、课程设置与要求</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b/>
          <w:kern w:val="0"/>
          <w:sz w:val="32"/>
          <w:szCs w:val="32"/>
        </w:rPr>
        <w:lastRenderedPageBreak/>
        <w:t>（一）课程要求</w:t>
      </w:r>
    </w:p>
    <w:p w:rsidR="00D02DAA" w:rsidRPr="003C1209" w:rsidRDefault="00D02DAA" w:rsidP="00D02DAA">
      <w:pPr>
        <w:adjustRightInd w:val="0"/>
        <w:snapToGrid w:val="0"/>
        <w:spacing w:line="324"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参照各专业学位（领域）指导性培养方案和《石河子大学全日制硕士专业学位研究生培养工作规定》并结合我校实际制定。上课方式为全日制课程学习方式，并按照学院当年的全日制专业学位研究生教学计划执行，在一到两个学期内完成。非全日制专业学位研究生课程学习方式学院可根据实际情况自行安排。</w:t>
      </w:r>
    </w:p>
    <w:p w:rsidR="00D02DAA" w:rsidRPr="003C1209" w:rsidRDefault="00D02DAA" w:rsidP="00D02DAA">
      <w:pPr>
        <w:adjustRightInd w:val="0"/>
        <w:snapToGrid w:val="0"/>
        <w:spacing w:line="324"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课程结构与课程目录</w:t>
      </w:r>
      <w:proofErr w:type="gramStart"/>
      <w:r w:rsidRPr="003C1209">
        <w:rPr>
          <w:rFonts w:ascii="仿宋_GB2312" w:eastAsia="仿宋_GB2312" w:hAnsi="仿宋" w:hint="eastAsia"/>
          <w:sz w:val="32"/>
          <w:szCs w:val="32"/>
        </w:rPr>
        <w:t>见相应</w:t>
      </w:r>
      <w:proofErr w:type="gramEnd"/>
      <w:r w:rsidRPr="003C1209">
        <w:rPr>
          <w:rFonts w:ascii="仿宋_GB2312" w:eastAsia="仿宋_GB2312" w:hAnsi="仿宋" w:hint="eastAsia"/>
          <w:sz w:val="32"/>
          <w:szCs w:val="32"/>
        </w:rPr>
        <w:t>专业学位类型</w:t>
      </w:r>
      <w:proofErr w:type="gramStart"/>
      <w:r w:rsidRPr="003C1209">
        <w:rPr>
          <w:rFonts w:ascii="仿宋_GB2312" w:eastAsia="仿宋_GB2312" w:hAnsi="仿宋" w:hint="eastAsia"/>
          <w:sz w:val="32"/>
          <w:szCs w:val="32"/>
        </w:rPr>
        <w:t>及领域</w:t>
      </w:r>
      <w:proofErr w:type="gramEnd"/>
      <w:r w:rsidRPr="003C1209">
        <w:rPr>
          <w:rFonts w:ascii="仿宋_GB2312" w:eastAsia="仿宋_GB2312" w:hAnsi="仿宋" w:hint="eastAsia"/>
          <w:sz w:val="32"/>
          <w:szCs w:val="32"/>
        </w:rPr>
        <w:t>的培养方案中的课程设置。</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sz w:val="32"/>
          <w:szCs w:val="32"/>
        </w:rPr>
      </w:pPr>
      <w:r w:rsidRPr="003C1209">
        <w:rPr>
          <w:rFonts w:ascii="仿宋_GB2312" w:eastAsia="仿宋_GB2312" w:hAnsi="仿宋" w:cs="宋体" w:hint="eastAsia"/>
          <w:b/>
          <w:sz w:val="32"/>
          <w:szCs w:val="32"/>
        </w:rPr>
        <w:t>（二）课程设置</w:t>
      </w:r>
    </w:p>
    <w:p w:rsidR="00D02DAA" w:rsidRPr="003C1209" w:rsidRDefault="00D02DAA" w:rsidP="00D02DAA">
      <w:pPr>
        <w:adjustRightInd w:val="0"/>
        <w:snapToGrid w:val="0"/>
        <w:spacing w:line="336"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1、必修课</w:t>
      </w:r>
    </w:p>
    <w:p w:rsidR="00D02DAA" w:rsidRPr="003C1209" w:rsidRDefault="00D02DAA" w:rsidP="00D02DAA">
      <w:pPr>
        <w:adjustRightInd w:val="0"/>
        <w:snapToGrid w:val="0"/>
        <w:spacing w:line="336"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（1）中国特色社会主义理论与实践研究     2.0学分</w:t>
      </w:r>
    </w:p>
    <w:p w:rsidR="00D02DAA" w:rsidRPr="003C1209" w:rsidRDefault="00D02DAA" w:rsidP="00D02DAA">
      <w:pPr>
        <w:adjustRightInd w:val="0"/>
        <w:snapToGrid w:val="0"/>
        <w:spacing w:line="336"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（2）专业学位硕士英语                   3.0学分</w:t>
      </w:r>
    </w:p>
    <w:p w:rsidR="00D02DAA" w:rsidRPr="003C1209" w:rsidRDefault="00D02DAA" w:rsidP="00D02DAA">
      <w:pPr>
        <w:adjustRightInd w:val="0"/>
        <w:snapToGrid w:val="0"/>
        <w:spacing w:line="336"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（3）自然辩证法概论（自然学科类专业必选）或马克思主义与社会科学方法论（人文社科类专业必选）1.0学分</w:t>
      </w:r>
    </w:p>
    <w:p w:rsidR="00D02DAA" w:rsidRPr="003C1209" w:rsidRDefault="00D02DAA" w:rsidP="00D02DAA">
      <w:pPr>
        <w:adjustRightInd w:val="0"/>
        <w:snapToGrid w:val="0"/>
        <w:spacing w:line="336" w:lineRule="auto"/>
        <w:ind w:firstLineChars="300" w:firstLine="960"/>
        <w:rPr>
          <w:rFonts w:ascii="仿宋_GB2312" w:eastAsia="仿宋_GB2312" w:hAnsi="仿宋" w:hint="eastAsia"/>
          <w:sz w:val="32"/>
          <w:szCs w:val="32"/>
        </w:rPr>
      </w:pPr>
      <w:r w:rsidRPr="003C1209">
        <w:rPr>
          <w:rFonts w:ascii="仿宋_GB2312" w:eastAsia="仿宋_GB2312" w:hAnsi="仿宋" w:hint="eastAsia"/>
          <w:sz w:val="32"/>
          <w:szCs w:val="32"/>
        </w:rPr>
        <w:t>****</w:t>
      </w:r>
    </w:p>
    <w:p w:rsidR="00D02DAA" w:rsidRPr="003C1209" w:rsidRDefault="00D02DAA" w:rsidP="00D02DAA">
      <w:pPr>
        <w:adjustRightInd w:val="0"/>
        <w:snapToGrid w:val="0"/>
        <w:spacing w:line="336"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2、 选修课</w:t>
      </w:r>
    </w:p>
    <w:p w:rsidR="00D02DAA" w:rsidRPr="003C1209" w:rsidRDefault="00D02DAA" w:rsidP="00D02DAA">
      <w:pPr>
        <w:adjustRightInd w:val="0"/>
        <w:snapToGrid w:val="0"/>
        <w:spacing w:line="336"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（1）</w:t>
      </w:r>
    </w:p>
    <w:p w:rsidR="00D02DAA" w:rsidRPr="003C1209" w:rsidRDefault="00D02DAA" w:rsidP="00D02DAA">
      <w:pPr>
        <w:adjustRightInd w:val="0"/>
        <w:snapToGrid w:val="0"/>
        <w:spacing w:line="336"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lastRenderedPageBreak/>
        <w:t>（2）</w:t>
      </w:r>
    </w:p>
    <w:p w:rsidR="00D02DAA" w:rsidRPr="003C1209" w:rsidRDefault="00D02DAA" w:rsidP="00D02DAA">
      <w:pPr>
        <w:adjustRightInd w:val="0"/>
        <w:snapToGrid w:val="0"/>
        <w:spacing w:line="336"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w:t>
      </w:r>
    </w:p>
    <w:p w:rsidR="00D02DAA" w:rsidRPr="003C1209" w:rsidRDefault="00D02DAA" w:rsidP="00D02DAA">
      <w:pPr>
        <w:adjustRightInd w:val="0"/>
        <w:snapToGrid w:val="0"/>
        <w:spacing w:line="336"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3、补修课程（2-4门）</w:t>
      </w:r>
    </w:p>
    <w:p w:rsidR="00D02DAA" w:rsidRPr="003C1209" w:rsidRDefault="00D02DAA" w:rsidP="00D02DAA">
      <w:pPr>
        <w:adjustRightInd w:val="0"/>
        <w:snapToGrid w:val="0"/>
        <w:spacing w:line="336"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跨专业或以同等学力录取的硕士研究生应补修2-4门本学科本科主干课程并通过考试，不计学分。</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b/>
          <w:kern w:val="0"/>
          <w:sz w:val="32"/>
          <w:szCs w:val="32"/>
        </w:rPr>
        <w:t>五、培养方式与培养环节</w:t>
      </w:r>
    </w:p>
    <w:p w:rsidR="00D02DAA" w:rsidRPr="003C1209" w:rsidRDefault="00D02DAA" w:rsidP="00D02DAA">
      <w:pPr>
        <w:adjustRightInd w:val="0"/>
        <w:snapToGrid w:val="0"/>
        <w:spacing w:line="336" w:lineRule="auto"/>
        <w:ind w:firstLineChars="200" w:firstLine="640"/>
        <w:rPr>
          <w:rFonts w:ascii="仿宋_GB2312" w:eastAsia="仿宋_GB2312" w:hAnsi="仿宋" w:hint="eastAsia"/>
          <w:sz w:val="32"/>
          <w:szCs w:val="32"/>
        </w:rPr>
      </w:pPr>
      <w:r w:rsidRPr="003C1209">
        <w:rPr>
          <w:rFonts w:ascii="仿宋_GB2312" w:eastAsia="仿宋_GB2312" w:hAnsi="仿宋" w:hint="eastAsia"/>
          <w:sz w:val="32"/>
          <w:szCs w:val="32"/>
        </w:rPr>
        <w:t>硕士专业学位研究生的培养，须注重培养实践能力、科学研究能力和创新能力，增长实际工作经验，缩短就业适应期限，提高专业素养及就业创业能力。</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b/>
          <w:kern w:val="0"/>
          <w:sz w:val="32"/>
          <w:szCs w:val="32"/>
        </w:rPr>
        <w:t>1、硕士专业学位研究生的培养实行“双导师制”。</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kern w:val="0"/>
          <w:sz w:val="32"/>
          <w:szCs w:val="32"/>
        </w:rPr>
      </w:pPr>
      <w:r w:rsidRPr="003C1209">
        <w:rPr>
          <w:rFonts w:ascii="仿宋_GB2312" w:eastAsia="仿宋_GB2312" w:hAnsi="仿宋" w:cs="宋体" w:hint="eastAsia"/>
          <w:kern w:val="0"/>
          <w:sz w:val="32"/>
          <w:szCs w:val="32"/>
        </w:rPr>
        <w:t>每名硕士研究生由1名校内导师和1名校外导师共同指导，或成立导师指导小组。</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b/>
          <w:kern w:val="0"/>
          <w:sz w:val="32"/>
          <w:szCs w:val="32"/>
        </w:rPr>
        <w:t>2、培养计划</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sz w:val="32"/>
          <w:szCs w:val="32"/>
        </w:rPr>
      </w:pPr>
      <w:r w:rsidRPr="003C1209">
        <w:rPr>
          <w:rFonts w:ascii="仿宋_GB2312" w:eastAsia="仿宋_GB2312" w:hAnsi="仿宋" w:cs="宋体" w:hint="eastAsia"/>
          <w:kern w:val="0"/>
          <w:sz w:val="32"/>
          <w:szCs w:val="32"/>
        </w:rPr>
        <w:t>硕士专业学位研究生入学后，应与导师一起商议，制定出“个人培养计划”，入学2周内在网上提交“个人培养计划”，并将“个人培养计划”（一式两份）交所在学院，报研究生处备案。</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b/>
          <w:kern w:val="0"/>
          <w:sz w:val="32"/>
          <w:szCs w:val="32"/>
        </w:rPr>
        <w:t>3、课程学习</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sz w:val="32"/>
          <w:szCs w:val="32"/>
        </w:rPr>
      </w:pPr>
      <w:r w:rsidRPr="003C1209">
        <w:rPr>
          <w:rFonts w:ascii="仿宋_GB2312" w:eastAsia="仿宋_GB2312" w:hAnsi="仿宋" w:cs="宋体" w:hint="eastAsia"/>
          <w:kern w:val="0"/>
          <w:sz w:val="32"/>
          <w:szCs w:val="32"/>
        </w:rPr>
        <w:lastRenderedPageBreak/>
        <w:t>全日制硕士专业学位研究生根据培养</w:t>
      </w:r>
      <w:proofErr w:type="gramStart"/>
      <w:r w:rsidRPr="003C1209">
        <w:rPr>
          <w:rFonts w:ascii="仿宋_GB2312" w:eastAsia="仿宋_GB2312" w:hAnsi="仿宋" w:cs="宋体" w:hint="eastAsia"/>
          <w:kern w:val="0"/>
          <w:sz w:val="32"/>
          <w:szCs w:val="32"/>
        </w:rPr>
        <w:t>计划修完所规定</w:t>
      </w:r>
      <w:proofErr w:type="gramEnd"/>
      <w:r w:rsidRPr="003C1209">
        <w:rPr>
          <w:rFonts w:ascii="仿宋_GB2312" w:eastAsia="仿宋_GB2312" w:hAnsi="仿宋" w:cs="宋体" w:hint="eastAsia"/>
          <w:kern w:val="0"/>
          <w:sz w:val="32"/>
          <w:szCs w:val="32"/>
        </w:rPr>
        <w:t>的课程并取得学分。在导师的指导下</w:t>
      </w:r>
      <w:r w:rsidRPr="003C1209">
        <w:rPr>
          <w:rFonts w:ascii="仿宋_GB2312" w:eastAsia="仿宋_GB2312" w:hAnsi="仿宋" w:cs="宋体" w:hint="eastAsia"/>
          <w:sz w:val="32"/>
          <w:szCs w:val="32"/>
        </w:rPr>
        <w:t>，结合自身需要和要求选修数门本专业或相关专业课程。能熟练地掌握一门外国语，能熟练阅读本专业的外文资料。</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b/>
          <w:kern w:val="0"/>
          <w:sz w:val="32"/>
          <w:szCs w:val="32"/>
        </w:rPr>
        <w:t>4、专业实践</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kern w:val="0"/>
          <w:sz w:val="32"/>
          <w:szCs w:val="32"/>
        </w:rPr>
        <w:t>硕士专业学位研究生专业实践环节用学分进行计量考核，按规定要求完成者计6学分。专业实践环节是硕士专业学位研究生培养的一个重要环节，硕士专业学位研究生不参加专业实践或参加专业实践考核未通过者，不得申请毕业和学位论文答辩。</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kern w:val="0"/>
          <w:sz w:val="32"/>
          <w:szCs w:val="32"/>
        </w:rPr>
        <w:t>硕士专业学位研究生专业实践的具体环节、要求及考核工作，参照《石河子大学全日制硕士专业学位研究生专业实践环节的管理规定》执行。</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b/>
          <w:kern w:val="0"/>
          <w:sz w:val="32"/>
          <w:szCs w:val="32"/>
        </w:rPr>
        <w:t>5、学位论文及答辩</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kern w:val="0"/>
          <w:sz w:val="32"/>
          <w:szCs w:val="32"/>
        </w:rPr>
        <w:t>硕士专业学位研究生的学位论文选题，应来源于应用课题或现实问题，必须有明确的职业背景和应用价值。学位论文形式可以多种多样，可采用调研报告、应用基础研究、规划设计、产品开发、案例分析、项目管理、文学艺术作品、</w:t>
      </w:r>
      <w:r w:rsidRPr="003C1209">
        <w:rPr>
          <w:rFonts w:ascii="仿宋_GB2312" w:eastAsia="仿宋_GB2312" w:hAnsi="仿宋" w:cs="宋体" w:hint="eastAsia"/>
          <w:kern w:val="0"/>
          <w:sz w:val="32"/>
          <w:szCs w:val="32"/>
        </w:rPr>
        <w:lastRenderedPageBreak/>
        <w:t>病例分析报告、临床技能革新等形式。学位论文须独立完成，要体现硕士专业学位研究生综合运用科学理论、方法和技术解决实际问题的能力。</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b/>
          <w:kern w:val="0"/>
          <w:sz w:val="32"/>
          <w:szCs w:val="32"/>
        </w:rPr>
        <w:t>6、学位申请</w:t>
      </w:r>
    </w:p>
    <w:p w:rsidR="00D02DAA" w:rsidRPr="003C1209" w:rsidRDefault="00D02DAA" w:rsidP="00D02DAA">
      <w:pPr>
        <w:adjustRightInd w:val="0"/>
        <w:snapToGrid w:val="0"/>
        <w:spacing w:line="336" w:lineRule="auto"/>
        <w:ind w:firstLineChars="200" w:firstLine="640"/>
        <w:rPr>
          <w:rFonts w:ascii="仿宋_GB2312" w:eastAsia="仿宋_GB2312" w:hAnsi="仿宋" w:cs="宋体" w:hint="eastAsia"/>
          <w:b/>
          <w:kern w:val="0"/>
          <w:sz w:val="32"/>
          <w:szCs w:val="32"/>
        </w:rPr>
      </w:pPr>
      <w:r w:rsidRPr="003C1209">
        <w:rPr>
          <w:rFonts w:ascii="仿宋_GB2312" w:eastAsia="仿宋_GB2312" w:hAnsi="仿宋" w:cs="宋体" w:hint="eastAsia"/>
          <w:kern w:val="0"/>
          <w:sz w:val="32"/>
          <w:szCs w:val="32"/>
        </w:rPr>
        <w:t>硕士专业学位研究生修满学分，完成规定培养环节，达到要求，可申请硕士学位，具体事宜参照《石河子大学专业学位硕士研究生论文答辩及学位申请工作细则》执行。</w:t>
      </w:r>
    </w:p>
    <w:p w:rsidR="00D02DAA" w:rsidRPr="003C1209" w:rsidRDefault="00D02DAA" w:rsidP="00D02DAA">
      <w:pPr>
        <w:adjustRightInd w:val="0"/>
        <w:snapToGrid w:val="0"/>
        <w:spacing w:line="480" w:lineRule="auto"/>
        <w:ind w:firstLineChars="200" w:firstLine="560"/>
        <w:rPr>
          <w:rFonts w:ascii="仿宋_GB2312" w:eastAsia="仿宋_GB2312" w:hAnsi="仿宋" w:hint="eastAsia"/>
          <w:b/>
          <w:sz w:val="28"/>
          <w:szCs w:val="28"/>
        </w:rPr>
      </w:pPr>
    </w:p>
    <w:p w:rsidR="00D02DAA" w:rsidRPr="003C1209" w:rsidRDefault="00D02DAA" w:rsidP="00D02DAA">
      <w:pPr>
        <w:adjustRightInd w:val="0"/>
        <w:snapToGrid w:val="0"/>
        <w:spacing w:line="480" w:lineRule="auto"/>
        <w:ind w:firstLineChars="200" w:firstLine="640"/>
        <w:rPr>
          <w:rFonts w:ascii="仿宋_GB2312" w:eastAsia="仿宋_GB2312" w:hAnsi="仿宋" w:cs="宋体" w:hint="eastAsia"/>
          <w:sz w:val="32"/>
          <w:szCs w:val="32"/>
        </w:rPr>
      </w:pPr>
      <w:r w:rsidRPr="003C1209">
        <w:rPr>
          <w:rFonts w:ascii="仿宋_GB2312" w:eastAsia="仿宋_GB2312" w:hAnsi="仿宋" w:cs="宋体" w:hint="eastAsia"/>
          <w:sz w:val="32"/>
          <w:szCs w:val="32"/>
        </w:rPr>
        <w:t>专业学位教育指导委员会负责人签字：</w:t>
      </w:r>
    </w:p>
    <w:p w:rsidR="00D02DAA" w:rsidRPr="003C1209" w:rsidRDefault="00D02DAA" w:rsidP="00D02DAA">
      <w:pPr>
        <w:adjustRightInd w:val="0"/>
        <w:snapToGrid w:val="0"/>
        <w:spacing w:line="480" w:lineRule="auto"/>
        <w:ind w:firstLineChars="200" w:firstLine="640"/>
        <w:rPr>
          <w:rFonts w:ascii="仿宋_GB2312" w:eastAsia="仿宋_GB2312" w:hAnsi="仿宋" w:cs="宋体" w:hint="eastAsia"/>
          <w:sz w:val="32"/>
          <w:szCs w:val="32"/>
        </w:rPr>
      </w:pPr>
      <w:r w:rsidRPr="003C1209">
        <w:rPr>
          <w:rFonts w:ascii="仿宋_GB2312" w:eastAsia="仿宋_GB2312" w:hAnsi="仿宋" w:cs="宋体" w:hint="eastAsia"/>
          <w:sz w:val="32"/>
          <w:szCs w:val="32"/>
        </w:rPr>
        <w:t>学院学位</w:t>
      </w:r>
      <w:proofErr w:type="gramStart"/>
      <w:r w:rsidRPr="003C1209">
        <w:rPr>
          <w:rFonts w:ascii="仿宋_GB2312" w:eastAsia="仿宋_GB2312" w:hAnsi="仿宋" w:cs="宋体" w:hint="eastAsia"/>
          <w:sz w:val="32"/>
          <w:szCs w:val="32"/>
        </w:rPr>
        <w:t>评定分</w:t>
      </w:r>
      <w:proofErr w:type="gramEnd"/>
      <w:r w:rsidRPr="003C1209">
        <w:rPr>
          <w:rFonts w:ascii="仿宋_GB2312" w:eastAsia="仿宋_GB2312" w:hAnsi="仿宋" w:cs="宋体" w:hint="eastAsia"/>
          <w:sz w:val="32"/>
          <w:szCs w:val="32"/>
        </w:rPr>
        <w:t>委员会负责人签章：</w:t>
      </w:r>
    </w:p>
    <w:p w:rsidR="00D02DAA" w:rsidRPr="003C1209" w:rsidRDefault="00D02DAA" w:rsidP="00D02DAA">
      <w:pPr>
        <w:adjustRightInd w:val="0"/>
        <w:snapToGrid w:val="0"/>
        <w:spacing w:line="480" w:lineRule="auto"/>
        <w:ind w:firstLineChars="200" w:firstLine="640"/>
        <w:rPr>
          <w:rFonts w:ascii="仿宋_GB2312" w:eastAsia="仿宋_GB2312" w:hAnsi="仿宋" w:cs="宋体" w:hint="eastAsia"/>
          <w:sz w:val="32"/>
          <w:szCs w:val="32"/>
        </w:rPr>
      </w:pPr>
      <w:r w:rsidRPr="003C1209">
        <w:rPr>
          <w:rFonts w:ascii="仿宋_GB2312" w:eastAsia="仿宋_GB2312" w:hAnsi="仿宋" w:cs="宋体" w:hint="eastAsia"/>
          <w:sz w:val="32"/>
          <w:szCs w:val="32"/>
        </w:rPr>
        <w:t>日期：</w:t>
      </w:r>
    </w:p>
    <w:p w:rsidR="00D02DAA" w:rsidRPr="003C1209" w:rsidRDefault="00D02DAA" w:rsidP="00D02DAA">
      <w:pPr>
        <w:snapToGrid w:val="0"/>
        <w:spacing w:line="324" w:lineRule="auto"/>
        <w:jc w:val="center"/>
        <w:rPr>
          <w:rFonts w:ascii="仿宋_GB2312" w:eastAsia="仿宋_GB2312" w:hAnsi="仿宋" w:cs="宋体" w:hint="eastAsia"/>
          <w:sz w:val="32"/>
          <w:szCs w:val="32"/>
        </w:rPr>
      </w:pPr>
    </w:p>
    <w:p w:rsidR="00D02DAA" w:rsidRPr="003C1209" w:rsidRDefault="00D02DAA" w:rsidP="00D02DAA">
      <w:pPr>
        <w:snapToGrid w:val="0"/>
        <w:spacing w:line="324" w:lineRule="auto"/>
        <w:jc w:val="center"/>
        <w:rPr>
          <w:rFonts w:ascii="仿宋_GB2312" w:eastAsia="仿宋_GB2312" w:hAnsi="仿宋" w:cs="宋体" w:hint="eastAsia"/>
          <w:sz w:val="32"/>
          <w:szCs w:val="32"/>
        </w:rPr>
      </w:pPr>
    </w:p>
    <w:p w:rsidR="00D02DAA" w:rsidRDefault="00D02DAA" w:rsidP="00D02DAA">
      <w:pPr>
        <w:snapToGrid w:val="0"/>
        <w:spacing w:line="324" w:lineRule="auto"/>
        <w:jc w:val="center"/>
        <w:rPr>
          <w:rFonts w:ascii="仿宋_GB2312" w:eastAsia="仿宋_GB2312" w:hAnsi="仿宋" w:cs="宋体" w:hint="eastAsia"/>
          <w:sz w:val="32"/>
          <w:szCs w:val="32"/>
        </w:rPr>
      </w:pPr>
    </w:p>
    <w:p w:rsidR="00D02DAA" w:rsidRPr="003C1209" w:rsidRDefault="00D02DAA" w:rsidP="00D02DAA">
      <w:pPr>
        <w:snapToGrid w:val="0"/>
        <w:spacing w:line="324" w:lineRule="auto"/>
        <w:jc w:val="center"/>
        <w:rPr>
          <w:rFonts w:ascii="仿宋_GB2312" w:eastAsia="仿宋_GB2312" w:hAnsi="仿宋" w:cs="宋体" w:hint="eastAsia"/>
          <w:sz w:val="32"/>
          <w:szCs w:val="32"/>
        </w:rPr>
      </w:pPr>
    </w:p>
    <w:p w:rsidR="00D02DAA" w:rsidRDefault="00D02DAA" w:rsidP="00D02DAA">
      <w:pPr>
        <w:snapToGrid w:val="0"/>
        <w:spacing w:line="324" w:lineRule="auto"/>
        <w:jc w:val="center"/>
        <w:rPr>
          <w:rFonts w:ascii="仿宋_GB2312" w:eastAsia="仿宋_GB2312" w:hAnsi="仿宋" w:cs="宋体" w:hint="eastAsia"/>
          <w:sz w:val="32"/>
          <w:szCs w:val="32"/>
        </w:rPr>
      </w:pPr>
    </w:p>
    <w:p w:rsidR="00D02DAA" w:rsidRPr="003C1209" w:rsidRDefault="00D02DAA" w:rsidP="00D02DAA">
      <w:pPr>
        <w:snapToGrid w:val="0"/>
        <w:spacing w:line="324" w:lineRule="auto"/>
        <w:jc w:val="center"/>
        <w:rPr>
          <w:rFonts w:ascii="仿宋_GB2312" w:eastAsia="仿宋_GB2312" w:hAnsi="仿宋" w:hint="eastAsia"/>
          <w:b/>
          <w:sz w:val="32"/>
          <w:szCs w:val="32"/>
        </w:rPr>
      </w:pPr>
      <w:r w:rsidRPr="003C1209">
        <w:rPr>
          <w:rFonts w:ascii="仿宋_GB2312" w:eastAsia="仿宋_GB2312" w:hAnsi="仿宋" w:cs="宋体" w:hint="eastAsia"/>
          <w:sz w:val="32"/>
          <w:szCs w:val="32"/>
        </w:rPr>
        <w:lastRenderedPageBreak/>
        <w:t>（专业、领域代码</w:t>
      </w:r>
      <w:r w:rsidRPr="003C1209">
        <w:rPr>
          <w:rFonts w:ascii="仿宋_GB2312" w:eastAsia="仿宋_GB2312" w:hAnsi="仿宋" w:cs="宋体" w:hint="eastAsia"/>
          <w:sz w:val="32"/>
          <w:szCs w:val="32"/>
          <w:u w:val="single"/>
        </w:rPr>
        <w:t xml:space="preserve">        </w:t>
      </w:r>
      <w:r w:rsidRPr="003C1209">
        <w:rPr>
          <w:rFonts w:ascii="仿宋_GB2312" w:eastAsia="仿宋_GB2312" w:hAnsi="仿宋" w:cs="宋体" w:hint="eastAsia"/>
          <w:sz w:val="32"/>
          <w:szCs w:val="32"/>
        </w:rPr>
        <w:t>）</w:t>
      </w:r>
      <w:r w:rsidRPr="003C1209">
        <w:rPr>
          <w:rFonts w:ascii="仿宋_GB2312" w:eastAsia="仿宋_GB2312" w:hAnsi="仿宋" w:hint="eastAsia"/>
          <w:b/>
          <w:sz w:val="32"/>
          <w:szCs w:val="32"/>
          <w:u w:val="single"/>
        </w:rPr>
        <w:t xml:space="preserve">      </w:t>
      </w:r>
      <w:r w:rsidRPr="003C1209">
        <w:rPr>
          <w:rFonts w:ascii="仿宋_GB2312" w:eastAsia="仿宋_GB2312" w:hAnsi="仿宋" w:hint="eastAsia"/>
          <w:b/>
          <w:sz w:val="32"/>
          <w:szCs w:val="32"/>
        </w:rPr>
        <w:t>专业学位硕士课程设置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3"/>
        <w:gridCol w:w="662"/>
        <w:gridCol w:w="650"/>
        <w:gridCol w:w="3182"/>
        <w:gridCol w:w="532"/>
        <w:gridCol w:w="539"/>
        <w:gridCol w:w="438"/>
        <w:gridCol w:w="438"/>
        <w:gridCol w:w="547"/>
        <w:gridCol w:w="1115"/>
      </w:tblGrid>
      <w:tr w:rsidR="00D02DAA" w:rsidRPr="003C1209" w:rsidTr="001D5582">
        <w:trPr>
          <w:trHeight w:val="397"/>
          <w:jc w:val="center"/>
        </w:trPr>
        <w:tc>
          <w:tcPr>
            <w:tcW w:w="1085" w:type="dxa"/>
            <w:gridSpan w:val="2"/>
            <w:vMerge w:val="restart"/>
            <w:tcBorders>
              <w:top w:val="single" w:sz="4" w:space="0" w:color="auto"/>
              <w:left w:val="single" w:sz="4" w:space="0" w:color="auto"/>
              <w:bottom w:val="single" w:sz="4" w:space="0" w:color="auto"/>
              <w:right w:val="single" w:sz="4" w:space="0" w:color="auto"/>
            </w:tcBorders>
            <w:vAlign w:val="center"/>
          </w:tcPr>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类别</w:t>
            </w:r>
          </w:p>
        </w:tc>
        <w:tc>
          <w:tcPr>
            <w:tcW w:w="650" w:type="dxa"/>
            <w:vMerge w:val="restart"/>
            <w:tcBorders>
              <w:left w:val="single" w:sz="4" w:space="0" w:color="auto"/>
            </w:tcBorders>
            <w:vAlign w:val="center"/>
          </w:tcPr>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课程</w:t>
            </w:r>
          </w:p>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编码</w:t>
            </w:r>
          </w:p>
        </w:tc>
        <w:tc>
          <w:tcPr>
            <w:tcW w:w="3182" w:type="dxa"/>
            <w:vMerge w:val="restart"/>
            <w:vAlign w:val="center"/>
          </w:tcPr>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课程名称</w:t>
            </w:r>
          </w:p>
        </w:tc>
        <w:tc>
          <w:tcPr>
            <w:tcW w:w="532" w:type="dxa"/>
            <w:vMerge w:val="restart"/>
            <w:vAlign w:val="center"/>
          </w:tcPr>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学</w:t>
            </w:r>
          </w:p>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分</w:t>
            </w:r>
          </w:p>
        </w:tc>
        <w:tc>
          <w:tcPr>
            <w:tcW w:w="1415" w:type="dxa"/>
            <w:gridSpan w:val="3"/>
            <w:vAlign w:val="center"/>
          </w:tcPr>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学时分配</w:t>
            </w:r>
          </w:p>
        </w:tc>
        <w:tc>
          <w:tcPr>
            <w:tcW w:w="547" w:type="dxa"/>
            <w:vMerge w:val="restart"/>
            <w:vAlign w:val="center"/>
          </w:tcPr>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开课学期</w:t>
            </w:r>
          </w:p>
        </w:tc>
        <w:tc>
          <w:tcPr>
            <w:tcW w:w="1115" w:type="dxa"/>
            <w:vMerge w:val="restart"/>
            <w:vAlign w:val="center"/>
          </w:tcPr>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授课</w:t>
            </w:r>
          </w:p>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教师</w:t>
            </w:r>
          </w:p>
        </w:tc>
      </w:tr>
      <w:tr w:rsidR="00D02DAA" w:rsidRPr="003C1209" w:rsidTr="001D5582">
        <w:trPr>
          <w:trHeight w:val="397"/>
          <w:jc w:val="center"/>
        </w:trPr>
        <w:tc>
          <w:tcPr>
            <w:tcW w:w="1085" w:type="dxa"/>
            <w:gridSpan w:val="2"/>
            <w:vMerge/>
            <w:tcBorders>
              <w:top w:val="single" w:sz="4" w:space="0" w:color="auto"/>
              <w:left w:val="single" w:sz="4" w:space="0" w:color="auto"/>
              <w:bottom w:val="single" w:sz="4" w:space="0" w:color="auto"/>
              <w:right w:val="single" w:sz="4" w:space="0" w:color="auto"/>
            </w:tcBorders>
            <w:vAlign w:val="center"/>
          </w:tcPr>
          <w:p w:rsidR="00D02DAA" w:rsidRPr="003C1209" w:rsidRDefault="00D02DAA" w:rsidP="001D5582">
            <w:pPr>
              <w:snapToGrid w:val="0"/>
              <w:jc w:val="center"/>
              <w:rPr>
                <w:rFonts w:ascii="仿宋_GB2312" w:eastAsia="仿宋_GB2312" w:hAnsi="仿宋" w:hint="eastAsia"/>
                <w:sz w:val="24"/>
              </w:rPr>
            </w:pPr>
          </w:p>
        </w:tc>
        <w:tc>
          <w:tcPr>
            <w:tcW w:w="650" w:type="dxa"/>
            <w:vMerge/>
            <w:tcBorders>
              <w:left w:val="single" w:sz="4" w:space="0" w:color="auto"/>
            </w:tcBorders>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53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b/>
                <w:w w:val="90"/>
                <w:sz w:val="24"/>
              </w:rPr>
            </w:pPr>
            <w:r w:rsidRPr="003C1209">
              <w:rPr>
                <w:rFonts w:ascii="仿宋_GB2312" w:eastAsia="仿宋_GB2312" w:hAnsi="仿宋" w:hint="eastAsia"/>
                <w:b/>
                <w:w w:val="90"/>
                <w:sz w:val="24"/>
              </w:rPr>
              <w:t>总</w:t>
            </w:r>
          </w:p>
          <w:p w:rsidR="00D02DAA" w:rsidRPr="003C1209" w:rsidRDefault="00D02DAA" w:rsidP="001D5582">
            <w:pPr>
              <w:snapToGrid w:val="0"/>
              <w:jc w:val="center"/>
              <w:rPr>
                <w:rFonts w:ascii="仿宋_GB2312" w:eastAsia="仿宋_GB2312" w:hAnsi="仿宋" w:hint="eastAsia"/>
                <w:b/>
                <w:w w:val="90"/>
                <w:sz w:val="24"/>
              </w:rPr>
            </w:pPr>
            <w:r w:rsidRPr="003C1209">
              <w:rPr>
                <w:rFonts w:ascii="仿宋_GB2312" w:eastAsia="仿宋_GB2312" w:hAnsi="仿宋" w:hint="eastAsia"/>
                <w:b/>
                <w:w w:val="90"/>
                <w:sz w:val="24"/>
              </w:rPr>
              <w:t>学时</w:t>
            </w:r>
          </w:p>
        </w:tc>
        <w:tc>
          <w:tcPr>
            <w:tcW w:w="438" w:type="dxa"/>
            <w:vAlign w:val="center"/>
          </w:tcPr>
          <w:p w:rsidR="00D02DAA" w:rsidRPr="003C1209" w:rsidRDefault="00D02DAA" w:rsidP="001D5582">
            <w:pPr>
              <w:snapToGrid w:val="0"/>
              <w:jc w:val="center"/>
              <w:rPr>
                <w:rFonts w:ascii="仿宋_GB2312" w:eastAsia="仿宋_GB2312" w:hAnsi="仿宋" w:hint="eastAsia"/>
                <w:b/>
                <w:w w:val="90"/>
                <w:sz w:val="24"/>
              </w:rPr>
            </w:pPr>
            <w:r w:rsidRPr="003C1209">
              <w:rPr>
                <w:rFonts w:ascii="仿宋_GB2312" w:eastAsia="仿宋_GB2312" w:hAnsi="仿宋" w:hint="eastAsia"/>
                <w:b/>
                <w:w w:val="90"/>
                <w:sz w:val="24"/>
              </w:rPr>
              <w:t>理</w:t>
            </w:r>
          </w:p>
          <w:p w:rsidR="00D02DAA" w:rsidRPr="003C1209" w:rsidRDefault="00D02DAA" w:rsidP="001D5582">
            <w:pPr>
              <w:snapToGrid w:val="0"/>
              <w:jc w:val="center"/>
              <w:rPr>
                <w:rFonts w:ascii="仿宋_GB2312" w:eastAsia="仿宋_GB2312" w:hAnsi="仿宋" w:hint="eastAsia"/>
                <w:b/>
                <w:w w:val="90"/>
                <w:sz w:val="24"/>
              </w:rPr>
            </w:pPr>
            <w:r w:rsidRPr="003C1209">
              <w:rPr>
                <w:rFonts w:ascii="仿宋_GB2312" w:eastAsia="仿宋_GB2312" w:hAnsi="仿宋" w:hint="eastAsia"/>
                <w:b/>
                <w:w w:val="90"/>
                <w:sz w:val="24"/>
              </w:rPr>
              <w:t>论</w:t>
            </w:r>
          </w:p>
        </w:tc>
        <w:tc>
          <w:tcPr>
            <w:tcW w:w="438" w:type="dxa"/>
            <w:vAlign w:val="center"/>
          </w:tcPr>
          <w:p w:rsidR="00D02DAA" w:rsidRPr="003C1209" w:rsidRDefault="00D02DAA" w:rsidP="001D5582">
            <w:pPr>
              <w:snapToGrid w:val="0"/>
              <w:jc w:val="center"/>
              <w:rPr>
                <w:rFonts w:ascii="仿宋_GB2312" w:eastAsia="仿宋_GB2312" w:hAnsi="仿宋" w:hint="eastAsia"/>
                <w:b/>
                <w:w w:val="90"/>
                <w:sz w:val="24"/>
              </w:rPr>
            </w:pPr>
            <w:r w:rsidRPr="003C1209">
              <w:rPr>
                <w:rFonts w:ascii="仿宋_GB2312" w:eastAsia="仿宋_GB2312" w:hAnsi="仿宋" w:hint="eastAsia"/>
                <w:b/>
                <w:w w:val="90"/>
                <w:sz w:val="24"/>
              </w:rPr>
              <w:t>实</w:t>
            </w:r>
          </w:p>
          <w:p w:rsidR="00D02DAA" w:rsidRPr="003C1209" w:rsidRDefault="00D02DAA" w:rsidP="001D5582">
            <w:pPr>
              <w:snapToGrid w:val="0"/>
              <w:jc w:val="center"/>
              <w:rPr>
                <w:rFonts w:ascii="仿宋_GB2312" w:eastAsia="仿宋_GB2312" w:hAnsi="仿宋" w:hint="eastAsia"/>
                <w:b/>
                <w:w w:val="90"/>
                <w:sz w:val="24"/>
              </w:rPr>
            </w:pPr>
            <w:r w:rsidRPr="003C1209">
              <w:rPr>
                <w:rFonts w:ascii="仿宋_GB2312" w:eastAsia="仿宋_GB2312" w:hAnsi="仿宋" w:hint="eastAsia"/>
                <w:b/>
                <w:w w:val="90"/>
                <w:sz w:val="24"/>
              </w:rPr>
              <w:t>验</w:t>
            </w:r>
          </w:p>
        </w:tc>
        <w:tc>
          <w:tcPr>
            <w:tcW w:w="547" w:type="dxa"/>
            <w:vMerge/>
            <w:vAlign w:val="center"/>
          </w:tcPr>
          <w:p w:rsidR="00D02DAA" w:rsidRPr="003C1209" w:rsidRDefault="00D02DAA" w:rsidP="001D5582">
            <w:pPr>
              <w:snapToGrid w:val="0"/>
              <w:jc w:val="center"/>
              <w:rPr>
                <w:rFonts w:ascii="仿宋_GB2312" w:eastAsia="仿宋_GB2312" w:hAnsi="仿宋" w:hint="eastAsia"/>
                <w:b/>
                <w:sz w:val="24"/>
              </w:rPr>
            </w:pPr>
          </w:p>
        </w:tc>
        <w:tc>
          <w:tcPr>
            <w:tcW w:w="1115" w:type="dxa"/>
            <w:vMerge/>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restart"/>
            <w:vAlign w:val="center"/>
          </w:tcPr>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必</w:t>
            </w:r>
          </w:p>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修课</w:t>
            </w:r>
          </w:p>
        </w:tc>
        <w:tc>
          <w:tcPr>
            <w:tcW w:w="662" w:type="dxa"/>
            <w:vMerge w:val="restart"/>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公共课</w:t>
            </w: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w w:val="90"/>
                <w:sz w:val="24"/>
              </w:rPr>
            </w:pPr>
            <w:r w:rsidRPr="003C1209">
              <w:rPr>
                <w:rFonts w:ascii="仿宋_GB2312" w:eastAsia="仿宋_GB2312" w:hAnsi="仿宋" w:hint="eastAsia"/>
                <w:sz w:val="24"/>
              </w:rPr>
              <w:t>中国特色社会主义理论与实践研究</w:t>
            </w:r>
          </w:p>
        </w:tc>
        <w:tc>
          <w:tcPr>
            <w:tcW w:w="532" w:type="dxa"/>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2.0</w:t>
            </w:r>
          </w:p>
        </w:tc>
        <w:tc>
          <w:tcPr>
            <w:tcW w:w="539" w:type="dxa"/>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36</w:t>
            </w:r>
          </w:p>
        </w:tc>
        <w:tc>
          <w:tcPr>
            <w:tcW w:w="438" w:type="dxa"/>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36</w:t>
            </w: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b/>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r w:rsidRPr="003C1209">
              <w:rPr>
                <w:rFonts w:ascii="仿宋_GB2312" w:eastAsia="仿宋_GB2312" w:hAnsi="仿宋" w:hint="eastAsia"/>
                <w:sz w:val="24"/>
              </w:rPr>
              <w:t>专业学位硕士英语</w:t>
            </w:r>
          </w:p>
        </w:tc>
        <w:tc>
          <w:tcPr>
            <w:tcW w:w="532" w:type="dxa"/>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3.0</w:t>
            </w:r>
          </w:p>
        </w:tc>
        <w:tc>
          <w:tcPr>
            <w:tcW w:w="539" w:type="dxa"/>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48</w:t>
            </w: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adjustRightInd w:val="0"/>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b/>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r w:rsidRPr="003C1209">
              <w:rPr>
                <w:rFonts w:ascii="仿宋_GB2312" w:eastAsia="仿宋_GB2312" w:hAnsi="仿宋" w:hint="eastAsia"/>
                <w:sz w:val="24"/>
              </w:rPr>
              <w:t>自然辩证法概论</w:t>
            </w:r>
          </w:p>
          <w:p w:rsidR="00D02DAA" w:rsidRPr="003C1209" w:rsidRDefault="00D02DAA" w:rsidP="001D5582">
            <w:pPr>
              <w:snapToGrid w:val="0"/>
              <w:rPr>
                <w:rFonts w:ascii="仿宋_GB2312" w:eastAsia="仿宋_GB2312" w:hAnsi="仿宋" w:hint="eastAsia"/>
                <w:sz w:val="24"/>
              </w:rPr>
            </w:pPr>
            <w:r w:rsidRPr="003C1209">
              <w:rPr>
                <w:rFonts w:ascii="仿宋_GB2312" w:eastAsia="仿宋_GB2312" w:hAnsi="仿宋" w:hint="eastAsia"/>
                <w:sz w:val="24"/>
              </w:rPr>
              <w:t>（自然学科类专业必选）</w:t>
            </w:r>
          </w:p>
        </w:tc>
        <w:tc>
          <w:tcPr>
            <w:tcW w:w="532" w:type="dxa"/>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1.0</w:t>
            </w:r>
          </w:p>
        </w:tc>
        <w:tc>
          <w:tcPr>
            <w:tcW w:w="539" w:type="dxa"/>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18</w:t>
            </w:r>
          </w:p>
        </w:tc>
        <w:tc>
          <w:tcPr>
            <w:tcW w:w="438" w:type="dxa"/>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18</w:t>
            </w: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adjustRightInd w:val="0"/>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r w:rsidRPr="003C1209">
              <w:rPr>
                <w:rFonts w:ascii="仿宋_GB2312" w:eastAsia="仿宋_GB2312" w:hAnsi="仿宋" w:hint="eastAsia"/>
                <w:sz w:val="24"/>
              </w:rPr>
              <w:t>马克思主义与社会科学方法论</w:t>
            </w:r>
          </w:p>
          <w:p w:rsidR="00D02DAA" w:rsidRPr="003C1209" w:rsidRDefault="00D02DAA" w:rsidP="001D5582">
            <w:pPr>
              <w:snapToGrid w:val="0"/>
              <w:rPr>
                <w:rFonts w:ascii="仿宋_GB2312" w:eastAsia="仿宋_GB2312" w:hAnsi="仿宋" w:hint="eastAsia"/>
                <w:sz w:val="24"/>
              </w:rPr>
            </w:pPr>
            <w:r w:rsidRPr="003C1209">
              <w:rPr>
                <w:rFonts w:ascii="仿宋_GB2312" w:eastAsia="仿宋_GB2312" w:hAnsi="仿宋" w:hint="eastAsia"/>
                <w:sz w:val="24"/>
              </w:rPr>
              <w:t>（人文社科类专业必选）</w:t>
            </w:r>
          </w:p>
        </w:tc>
        <w:tc>
          <w:tcPr>
            <w:tcW w:w="532" w:type="dxa"/>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1.0</w:t>
            </w:r>
          </w:p>
        </w:tc>
        <w:tc>
          <w:tcPr>
            <w:tcW w:w="539" w:type="dxa"/>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18</w:t>
            </w:r>
          </w:p>
        </w:tc>
        <w:tc>
          <w:tcPr>
            <w:tcW w:w="438" w:type="dxa"/>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18</w:t>
            </w: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adjustRightInd w:val="0"/>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restart"/>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专业</w:t>
            </w:r>
          </w:p>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或领域主干课</w:t>
            </w: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restart"/>
            <w:vAlign w:val="center"/>
          </w:tcPr>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选</w:t>
            </w:r>
          </w:p>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修课</w:t>
            </w:r>
          </w:p>
        </w:tc>
        <w:tc>
          <w:tcPr>
            <w:tcW w:w="662" w:type="dxa"/>
            <w:vMerge w:val="restart"/>
            <w:vAlign w:val="center"/>
          </w:tcPr>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专业</w:t>
            </w:r>
          </w:p>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sz w:val="24"/>
              </w:rPr>
              <w:t>选修课</w:t>
            </w: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adjustRightInd w:val="0"/>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adjustRightInd w:val="0"/>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423"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62" w:type="dxa"/>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1085" w:type="dxa"/>
            <w:gridSpan w:val="2"/>
            <w:vMerge w:val="restart"/>
            <w:vAlign w:val="center"/>
          </w:tcPr>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必修</w:t>
            </w:r>
          </w:p>
          <w:p w:rsidR="00D02DAA" w:rsidRPr="003C1209" w:rsidRDefault="00D02DAA" w:rsidP="001D5582">
            <w:pPr>
              <w:snapToGrid w:val="0"/>
              <w:jc w:val="center"/>
              <w:rPr>
                <w:rFonts w:ascii="仿宋_GB2312" w:eastAsia="仿宋_GB2312" w:hAnsi="仿宋" w:hint="eastAsia"/>
                <w:sz w:val="24"/>
              </w:rPr>
            </w:pPr>
            <w:r w:rsidRPr="003C1209">
              <w:rPr>
                <w:rFonts w:ascii="仿宋_GB2312" w:eastAsia="仿宋_GB2312" w:hAnsi="仿宋" w:hint="eastAsia"/>
                <w:b/>
                <w:sz w:val="24"/>
              </w:rPr>
              <w:t>环节</w:t>
            </w: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pacing w:line="320" w:lineRule="atLeast"/>
              <w:jc w:val="center"/>
              <w:rPr>
                <w:rFonts w:ascii="仿宋_GB2312" w:eastAsia="仿宋_GB2312" w:hAnsi="仿宋" w:hint="eastAsia"/>
                <w:szCs w:val="21"/>
              </w:rPr>
            </w:pPr>
            <w:r w:rsidRPr="003C1209">
              <w:rPr>
                <w:rFonts w:ascii="仿宋_GB2312" w:eastAsia="仿宋_GB2312" w:hAnsi="仿宋" w:hint="eastAsia"/>
                <w:szCs w:val="21"/>
              </w:rPr>
              <w:t>学术活动</w:t>
            </w:r>
          </w:p>
        </w:tc>
        <w:tc>
          <w:tcPr>
            <w:tcW w:w="532" w:type="dxa"/>
            <w:vAlign w:val="center"/>
          </w:tcPr>
          <w:p w:rsidR="00D02DAA" w:rsidRPr="003C1209" w:rsidRDefault="00D02DAA" w:rsidP="001D5582">
            <w:pPr>
              <w:spacing w:line="320" w:lineRule="atLeast"/>
              <w:jc w:val="center"/>
              <w:rPr>
                <w:rFonts w:ascii="仿宋_GB2312" w:eastAsia="仿宋_GB2312" w:hAnsi="仿宋" w:hint="eastAsia"/>
                <w:szCs w:val="21"/>
              </w:rPr>
            </w:pPr>
            <w:r w:rsidRPr="003C1209">
              <w:rPr>
                <w:rFonts w:ascii="仿宋_GB2312" w:eastAsia="仿宋_GB2312" w:hAnsi="仿宋" w:hint="eastAsia"/>
                <w:szCs w:val="21"/>
              </w:rPr>
              <w:t>2</w:t>
            </w: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1085" w:type="dxa"/>
            <w:gridSpan w:val="2"/>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pacing w:line="320" w:lineRule="atLeast"/>
              <w:jc w:val="center"/>
              <w:rPr>
                <w:rFonts w:ascii="仿宋_GB2312" w:eastAsia="仿宋_GB2312" w:hAnsi="仿宋" w:hint="eastAsia"/>
                <w:szCs w:val="21"/>
              </w:rPr>
            </w:pPr>
            <w:r w:rsidRPr="003C1209">
              <w:rPr>
                <w:rFonts w:ascii="仿宋_GB2312" w:eastAsia="仿宋_GB2312" w:hAnsi="仿宋" w:hint="eastAsia"/>
                <w:szCs w:val="21"/>
              </w:rPr>
              <w:t>专业实践</w:t>
            </w:r>
          </w:p>
        </w:tc>
        <w:tc>
          <w:tcPr>
            <w:tcW w:w="532" w:type="dxa"/>
            <w:vAlign w:val="center"/>
          </w:tcPr>
          <w:p w:rsidR="00D02DAA" w:rsidRPr="003C1209" w:rsidRDefault="00D02DAA" w:rsidP="001D5582">
            <w:pPr>
              <w:spacing w:line="320" w:lineRule="atLeast"/>
              <w:jc w:val="center"/>
              <w:rPr>
                <w:rFonts w:ascii="仿宋_GB2312" w:eastAsia="仿宋_GB2312" w:hAnsi="仿宋" w:hint="eastAsia"/>
                <w:szCs w:val="21"/>
              </w:rPr>
            </w:pPr>
            <w:r w:rsidRPr="003C1209">
              <w:rPr>
                <w:rFonts w:ascii="仿宋_GB2312" w:eastAsia="仿宋_GB2312" w:hAnsi="仿宋" w:hint="eastAsia"/>
                <w:szCs w:val="21"/>
              </w:rPr>
              <w:t>6</w:t>
            </w: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1085" w:type="dxa"/>
            <w:gridSpan w:val="2"/>
            <w:vMerge w:val="restart"/>
            <w:vAlign w:val="center"/>
          </w:tcPr>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补</w:t>
            </w:r>
          </w:p>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修</w:t>
            </w:r>
          </w:p>
          <w:p w:rsidR="00D02DAA" w:rsidRPr="003C1209" w:rsidRDefault="00D02DAA" w:rsidP="001D5582">
            <w:pPr>
              <w:snapToGrid w:val="0"/>
              <w:jc w:val="center"/>
              <w:rPr>
                <w:rFonts w:ascii="仿宋_GB2312" w:eastAsia="仿宋_GB2312" w:hAnsi="仿宋" w:hint="eastAsia"/>
                <w:b/>
                <w:sz w:val="24"/>
              </w:rPr>
            </w:pPr>
            <w:r w:rsidRPr="003C1209">
              <w:rPr>
                <w:rFonts w:ascii="仿宋_GB2312" w:eastAsia="仿宋_GB2312" w:hAnsi="仿宋" w:hint="eastAsia"/>
                <w:b/>
                <w:sz w:val="24"/>
              </w:rPr>
              <w:t>课</w:t>
            </w: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jc w:val="center"/>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1085" w:type="dxa"/>
            <w:gridSpan w:val="2"/>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jc w:val="center"/>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r w:rsidR="00D02DAA" w:rsidRPr="003C1209" w:rsidTr="001D5582">
        <w:trPr>
          <w:trHeight w:val="397"/>
          <w:jc w:val="center"/>
        </w:trPr>
        <w:tc>
          <w:tcPr>
            <w:tcW w:w="1085" w:type="dxa"/>
            <w:gridSpan w:val="2"/>
            <w:vMerge/>
            <w:vAlign w:val="center"/>
          </w:tcPr>
          <w:p w:rsidR="00D02DAA" w:rsidRPr="003C1209" w:rsidRDefault="00D02DAA" w:rsidP="001D5582">
            <w:pPr>
              <w:snapToGrid w:val="0"/>
              <w:jc w:val="center"/>
              <w:rPr>
                <w:rFonts w:ascii="仿宋_GB2312" w:eastAsia="仿宋_GB2312" w:hAnsi="仿宋" w:hint="eastAsia"/>
                <w:sz w:val="24"/>
              </w:rPr>
            </w:pPr>
          </w:p>
        </w:tc>
        <w:tc>
          <w:tcPr>
            <w:tcW w:w="650" w:type="dxa"/>
            <w:vAlign w:val="center"/>
          </w:tcPr>
          <w:p w:rsidR="00D02DAA" w:rsidRPr="003C1209" w:rsidRDefault="00D02DAA" w:rsidP="001D5582">
            <w:pPr>
              <w:snapToGrid w:val="0"/>
              <w:jc w:val="center"/>
              <w:rPr>
                <w:rFonts w:ascii="仿宋_GB2312" w:eastAsia="仿宋_GB2312" w:hAnsi="仿宋" w:hint="eastAsia"/>
                <w:sz w:val="24"/>
              </w:rPr>
            </w:pPr>
          </w:p>
        </w:tc>
        <w:tc>
          <w:tcPr>
            <w:tcW w:w="3182" w:type="dxa"/>
            <w:vAlign w:val="center"/>
          </w:tcPr>
          <w:p w:rsidR="00D02DAA" w:rsidRPr="003C1209" w:rsidRDefault="00D02DAA" w:rsidP="001D5582">
            <w:pPr>
              <w:snapToGrid w:val="0"/>
              <w:jc w:val="center"/>
              <w:rPr>
                <w:rFonts w:ascii="仿宋_GB2312" w:eastAsia="仿宋_GB2312" w:hAnsi="仿宋" w:hint="eastAsia"/>
                <w:sz w:val="24"/>
              </w:rPr>
            </w:pPr>
          </w:p>
        </w:tc>
        <w:tc>
          <w:tcPr>
            <w:tcW w:w="532" w:type="dxa"/>
            <w:vAlign w:val="center"/>
          </w:tcPr>
          <w:p w:rsidR="00D02DAA" w:rsidRPr="003C1209" w:rsidRDefault="00D02DAA" w:rsidP="001D5582">
            <w:pPr>
              <w:snapToGrid w:val="0"/>
              <w:jc w:val="center"/>
              <w:rPr>
                <w:rFonts w:ascii="仿宋_GB2312" w:eastAsia="仿宋_GB2312" w:hAnsi="仿宋" w:hint="eastAsia"/>
                <w:sz w:val="24"/>
              </w:rPr>
            </w:pPr>
          </w:p>
        </w:tc>
        <w:tc>
          <w:tcPr>
            <w:tcW w:w="539"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438" w:type="dxa"/>
            <w:vAlign w:val="center"/>
          </w:tcPr>
          <w:p w:rsidR="00D02DAA" w:rsidRPr="003C1209" w:rsidRDefault="00D02DAA" w:rsidP="001D5582">
            <w:pPr>
              <w:snapToGrid w:val="0"/>
              <w:jc w:val="center"/>
              <w:rPr>
                <w:rFonts w:ascii="仿宋_GB2312" w:eastAsia="仿宋_GB2312" w:hAnsi="仿宋" w:hint="eastAsia"/>
                <w:sz w:val="24"/>
              </w:rPr>
            </w:pPr>
          </w:p>
        </w:tc>
        <w:tc>
          <w:tcPr>
            <w:tcW w:w="547" w:type="dxa"/>
            <w:vAlign w:val="center"/>
          </w:tcPr>
          <w:p w:rsidR="00D02DAA" w:rsidRPr="003C1209" w:rsidRDefault="00D02DAA" w:rsidP="001D5582">
            <w:pPr>
              <w:snapToGrid w:val="0"/>
              <w:jc w:val="center"/>
              <w:rPr>
                <w:rFonts w:ascii="仿宋_GB2312" w:eastAsia="仿宋_GB2312" w:hAnsi="仿宋" w:hint="eastAsia"/>
                <w:sz w:val="24"/>
              </w:rPr>
            </w:pPr>
          </w:p>
        </w:tc>
        <w:tc>
          <w:tcPr>
            <w:tcW w:w="1115" w:type="dxa"/>
            <w:vAlign w:val="center"/>
          </w:tcPr>
          <w:p w:rsidR="00D02DAA" w:rsidRPr="003C1209" w:rsidRDefault="00D02DAA" w:rsidP="001D5582">
            <w:pPr>
              <w:snapToGrid w:val="0"/>
              <w:jc w:val="center"/>
              <w:rPr>
                <w:rFonts w:ascii="仿宋_GB2312" w:eastAsia="仿宋_GB2312" w:hAnsi="仿宋" w:hint="eastAsia"/>
                <w:sz w:val="24"/>
              </w:rPr>
            </w:pPr>
          </w:p>
        </w:tc>
      </w:tr>
    </w:tbl>
    <w:p w:rsidR="00D02DAA" w:rsidRPr="00D02DAA" w:rsidRDefault="00D02DAA" w:rsidP="00D02DAA">
      <w:pPr>
        <w:snapToGrid w:val="0"/>
        <w:spacing w:line="324" w:lineRule="auto"/>
        <w:rPr>
          <w:rFonts w:ascii="仿宋_GB2312" w:eastAsia="仿宋_GB2312" w:hAnsi="仿宋" w:hint="eastAsia"/>
          <w:sz w:val="24"/>
        </w:rPr>
      </w:pPr>
      <w:r w:rsidRPr="00D02DAA">
        <w:rPr>
          <w:rFonts w:ascii="仿宋_GB2312" w:eastAsia="仿宋_GB2312" w:hAnsi="仿宋" w:hint="eastAsia"/>
          <w:sz w:val="24"/>
        </w:rPr>
        <w:t>填写要求：表格名称用仿宋三号，表格内用仿宋小四号</w:t>
      </w:r>
      <w:r>
        <w:rPr>
          <w:rFonts w:ascii="仿宋_GB2312" w:eastAsia="仿宋_GB2312" w:hAnsi="仿宋" w:hint="eastAsia"/>
          <w:sz w:val="24"/>
        </w:rPr>
        <w:t>。</w:t>
      </w:r>
    </w:p>
    <w:p w:rsidR="004510F9" w:rsidRPr="00D02DAA" w:rsidRDefault="004510F9" w:rsidP="00D02DAA"/>
    <w:sectPr w:rsidR="004510F9" w:rsidRPr="00D02DAA" w:rsidSect="004510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747" w:rsidRDefault="00387747" w:rsidP="005073F9">
      <w:r>
        <w:separator/>
      </w:r>
    </w:p>
  </w:endnote>
  <w:endnote w:type="continuationSeparator" w:id="0">
    <w:p w:rsidR="00387747" w:rsidRDefault="00387747" w:rsidP="00507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747" w:rsidRDefault="00387747" w:rsidP="005073F9">
      <w:r>
        <w:separator/>
      </w:r>
    </w:p>
  </w:footnote>
  <w:footnote w:type="continuationSeparator" w:id="0">
    <w:p w:rsidR="00387747" w:rsidRDefault="00387747" w:rsidP="00507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3F9"/>
    <w:rsid w:val="00387747"/>
    <w:rsid w:val="004510F9"/>
    <w:rsid w:val="004A5DE1"/>
    <w:rsid w:val="005073F9"/>
    <w:rsid w:val="00D02DAA"/>
    <w:rsid w:val="00F93E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3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073F9"/>
    <w:rPr>
      <w:sz w:val="18"/>
      <w:szCs w:val="18"/>
    </w:rPr>
  </w:style>
  <w:style w:type="paragraph" w:styleId="a4">
    <w:name w:val="footer"/>
    <w:basedOn w:val="a"/>
    <w:link w:val="Char0"/>
    <w:uiPriority w:val="99"/>
    <w:semiHidden/>
    <w:unhideWhenUsed/>
    <w:rsid w:val="005073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073F9"/>
    <w:rPr>
      <w:sz w:val="18"/>
      <w:szCs w:val="18"/>
    </w:rPr>
  </w:style>
  <w:style w:type="paragraph" w:styleId="a5">
    <w:name w:val="Date"/>
    <w:basedOn w:val="a"/>
    <w:next w:val="a"/>
    <w:link w:val="Char1"/>
    <w:rsid w:val="00D02DAA"/>
    <w:pPr>
      <w:ind w:leftChars="2500" w:left="100"/>
    </w:pPr>
  </w:style>
  <w:style w:type="character" w:customStyle="1" w:styleId="Char1">
    <w:name w:val="日期 Char"/>
    <w:basedOn w:val="a0"/>
    <w:link w:val="a5"/>
    <w:rsid w:val="00D02DA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2019-04-30T03:34:00Z</dcterms:created>
  <dcterms:modified xsi:type="dcterms:W3CDTF">2019-04-30T03:36:00Z</dcterms:modified>
</cp:coreProperties>
</file>