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i w:val="0"/>
          <w:iCs w:val="0"/>
          <w:caps w:val="0"/>
          <w:color w:val="000000"/>
          <w:spacing w:val="0"/>
          <w:kern w:val="0"/>
          <w:sz w:val="36"/>
          <w:szCs w:val="36"/>
          <w:shd w:val="clear" w:fill="FFFFFF"/>
          <w:lang w:val="en-US" w:eastAsia="zh-CN" w:bidi="ar"/>
        </w:rPr>
      </w:pPr>
      <w:r>
        <w:rPr>
          <w:rFonts w:hint="eastAsia" w:ascii="宋体" w:hAnsi="宋体" w:eastAsia="宋体" w:cs="宋体"/>
          <w:b/>
          <w:bCs/>
          <w:i w:val="0"/>
          <w:iCs w:val="0"/>
          <w:caps w:val="0"/>
          <w:color w:val="000000"/>
          <w:spacing w:val="0"/>
          <w:kern w:val="0"/>
          <w:sz w:val="36"/>
          <w:szCs w:val="36"/>
          <w:shd w:val="clear" w:fill="FFFFFF"/>
          <w:lang w:val="en-US" w:eastAsia="zh-CN" w:bidi="ar"/>
        </w:rPr>
        <w:t>石河子大学2023年研究生教育教学改革研究项目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i w:val="0"/>
          <w:iCs w:val="0"/>
          <w:caps w:val="0"/>
          <w:color w:val="000000"/>
          <w:spacing w:val="0"/>
          <w:kern w:val="0"/>
          <w:sz w:val="36"/>
          <w:szCs w:val="36"/>
          <w:shd w:val="clear" w:fill="FFFFFF"/>
          <w:lang w:val="en-US" w:eastAsia="zh-CN" w:bidi="ar"/>
        </w:rPr>
      </w:pPr>
      <w:r>
        <w:rPr>
          <w:rFonts w:hint="eastAsia" w:ascii="宋体" w:hAnsi="宋体" w:eastAsia="宋体" w:cs="宋体"/>
          <w:b/>
          <w:bCs/>
          <w:i w:val="0"/>
          <w:iCs w:val="0"/>
          <w:caps w:val="0"/>
          <w:color w:val="000000"/>
          <w:spacing w:val="0"/>
          <w:kern w:val="0"/>
          <w:sz w:val="36"/>
          <w:szCs w:val="36"/>
          <w:shd w:val="clear" w:fill="FFFFFF"/>
          <w:lang w:val="en-US" w:eastAsia="zh-CN" w:bidi="ar"/>
        </w:rPr>
        <w:t>拟立项名单</w:t>
      </w:r>
    </w:p>
    <w:p>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eastAsia" w:ascii="宋体" w:hAnsi="宋体" w:eastAsia="宋体" w:cs="宋体"/>
          <w:b w:val="0"/>
          <w:bCs w:val="0"/>
          <w:i w:val="0"/>
          <w:iCs w:val="0"/>
          <w:caps w:val="0"/>
          <w:color w:val="000000"/>
          <w:spacing w:val="0"/>
          <w:kern w:val="0"/>
          <w:sz w:val="36"/>
          <w:szCs w:val="36"/>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（排名不分先后）</w:t>
      </w:r>
    </w:p>
    <w:tbl>
      <w:tblPr>
        <w:tblStyle w:val="2"/>
        <w:tblW w:w="9357" w:type="dxa"/>
        <w:tblInd w:w="-5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3575"/>
        <w:gridCol w:w="960"/>
        <w:gridCol w:w="2028"/>
        <w:gridCol w:w="2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blHeader/>
        </w:trPr>
        <w:tc>
          <w:tcPr>
            <w:tcW w:w="70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57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96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申请人姓名</w:t>
            </w:r>
          </w:p>
        </w:tc>
        <w:tc>
          <w:tcPr>
            <w:tcW w:w="202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所在单位</w:t>
            </w:r>
          </w:p>
        </w:tc>
        <w:tc>
          <w:tcPr>
            <w:tcW w:w="208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“双一流”背景下生物学研究生创新人才培养模式的探索与实践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李鸿彬</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生命科学学院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校级重点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（推荐自治区一般）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基于研究生创新、实践能力培养的导师团队建设研究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刘追</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经济与管理学院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校级重点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（推荐自治区一般）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新疆高校经济类学术型研究生科研创新能力培养路径的探索与实践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张杰</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经济与管理学院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校级重点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（推荐自治区一般）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医学学术学位创新人才培养路径的研究与实践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马克涛</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校级重点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（推荐自治区一般）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新疆高校拔尖创新人才培养模式研究与实践——以石河子大学为例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贾鑫</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研究生院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校级重点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（推荐自治区一般）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新时代研究生教育内部质量保障体系及治理路径研究——以石河子大学为例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李新芝</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研究生院</w:t>
            </w:r>
            <w:bookmarkStart w:id="0" w:name="_GoBack"/>
            <w:bookmarkEnd w:id="0"/>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校级重点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（推荐自治区一般）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课堂外“团队思政”育人新模式的探索与实践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于锋</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化学化工学院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校级一般</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（推荐自治区一般）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高素质土木水利专业学位研究生培养模式研究与实践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李文昊</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水利建筑工程学院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校级一般</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（推荐自治区一般）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新农科建设背景下《分子细胞生物学》 综合教学改革与实践研究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彭夏雨</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动物科技学院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校级一般</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（推荐自治区一般）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以“引领性、应用性、思政性”为目标的课程育人创新实践-以全国药学研究生精品课执业药师培训为例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李乐</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校级一般</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（推荐自治区一般）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职业能力视角下新疆高校研究生课程资源建设与实践研究——以《英语课程教学策略》为例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黄珊</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外国语学院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校级一般</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（推荐自治区一般）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面向新工科的材料与化工专业学位研究生培养质量评价体系研究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王荣杰</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化学化工学院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“精神引领、科教融合、三维共建”本硕博一体化拔尖创新人才培养模式研究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张若宇</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机械电气工程学院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基于学科竞赛的创新、实践能力培养体系研究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雷金</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机械电气工程学院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“数字中国”背景下水利类本硕一体化拔尖创新人才培养模式改革与创新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陈伏龙</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水利建筑工程学院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农科本硕一体化拔尖创新人才培养模式研究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鲁晓燕</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“新农科”背景下专业学位研究生人才培养模式探究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翟亚萍</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新疆高校本硕博（或硕博）一体化培养机制研究与探索---以石河子大学畜牧学为例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赵宗胜</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动物科技学院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新农科背景下畜牧兽医学研究生教育与科教融合、产教融合研究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张辉</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动物科技学院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基于能力和创新的果蔬加工与贮运技术专题课程的教学改革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刘忆冬</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研究生“生长发育与调控”课程思政一体化育人体系研究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谢全亮</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生命科学学院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以培育研究生科研素养为目标的《细胞染色体与显微技术》教学改革与实践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曹爱萍</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生命科学学院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创新融合性实验教学模式在《公共卫生技能操作》课程中的探索和实践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何佳</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新医科背景下护理交叉学科人才培养机制研究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左彭湘</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基于岗位胜任力的临床检验诊断学专业学位硕士研究生培养模式的探索与实践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张丽翠</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第一附属医院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专业学位课程案例库建设与实践研究—脑血管病案例库建设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刘祺</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第一附属医院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“一基点、四支柱、多维融合（协同）”的会计类专业学位研究生培养模式研究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刘嫦</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经济与管理学院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基于产教融合的专业实践能力培养机制研究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谭伟荣</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经济与管理学院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新疆高校教育硕士专业学位研究生实践创新能力培养研究——基于产教融合背景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马萍</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师范学院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以社会需求为导向的专业学位研究生创新能力培养模式改革研究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张莉琴</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师范学院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高校研究生思政课程与课程思政协同育人研究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张勇</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马克思主义学院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以服务需求为导向的法硕人才培养模式研究——基于石河子市法院以“案件认知”为中心的法官人才需求与培养实践的调查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李德政</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全日制教育硕士学科教学（体育）研究生教学实践创新能力培养研究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王学文</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体育学院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硕士研究生招生质量评价及提升对策研究——基于石河子大学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杨万鹏</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研究生院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基于学科竞赛研究生创新能力培养体制及保障体系研究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滑晓晴</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研究生院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新疆高校研究生导师培训现状及模式探索——以石河子大学为例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沈蕾</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研究生院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“双一流”背景下兵团高校学科建设与研究生教育协同发展机制研究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李庆轩</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研究生院</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校级一般</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zVmYTlkNWJmM2UxYmMyNjg1YjFiNDA4NmNmMzYifQ=="/>
  </w:docVars>
  <w:rsids>
    <w:rsidRoot w:val="6CE416CA"/>
    <w:rsid w:val="4C8D40AB"/>
    <w:rsid w:val="6CE4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2023-03-22T10:09:00Z</dcterms:created>
  <dc:creator>慰冰玉花</dc:creator>
  <cp:lastModifiedBy>慰冰玉花</cp:lastModifiedBy>
  <dcterms:modified xsi:type="dcterms:W3CDTF">2023-03-24T10:34:23Z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D7CE0EF9841D42DA8E1E30CB5B2415B6_11</vt:lpwstr>
  </property>
</Properties>
</file>