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B2323">
      <w:pPr>
        <w:jc w:val="center"/>
        <w:rPr>
          <w:rFonts w:hint="eastAsia" w:ascii="仿宋_GB2312" w:hAnsi="宋体" w:eastAsia="仿宋_GB2312" w:cs="宋体"/>
          <w:b/>
          <w:bCs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t>国际化</w:t>
      </w:r>
      <w:r>
        <w:rPr>
          <w:rFonts w:hint="eastAsia" w:ascii="仿宋_GB2312" w:hAnsi="宋体" w:eastAsia="仿宋_GB2312" w:cs="方正小标宋简体"/>
          <w:b/>
          <w:bCs/>
          <w:sz w:val="32"/>
          <w:szCs w:val="32"/>
        </w:rPr>
        <w:t>拔尖</w:t>
      </w:r>
      <w:r>
        <w:rPr>
          <w:rFonts w:hint="eastAsia" w:ascii="仿宋_GB2312" w:hAnsi="宋体" w:eastAsia="仿宋_GB2312" w:cs="宋体"/>
          <w:b/>
          <w:bCs/>
          <w:sz w:val="32"/>
          <w:szCs w:val="32"/>
        </w:rPr>
        <w:t>创新人才培养计划</w:t>
      </w:r>
    </w:p>
    <w:p w14:paraId="4F622BC4">
      <w:pPr>
        <w:jc w:val="center"/>
        <w:rPr>
          <w:rFonts w:hint="eastAsia" w:ascii="仿宋_GB2312" w:hAnsi="宋体" w:eastAsia="仿宋_GB2312" w:cs="方正小标宋简体"/>
          <w:b/>
          <w:bCs/>
          <w:sz w:val="44"/>
          <w:szCs w:val="44"/>
        </w:rPr>
      </w:pPr>
      <w:r>
        <w:rPr>
          <w:rFonts w:hint="eastAsia" w:ascii="仿宋_GB2312" w:hAnsi="宋体" w:eastAsia="仿宋_GB2312" w:cs="方正小标宋简体"/>
          <w:b/>
          <w:bCs/>
          <w:sz w:val="44"/>
          <w:szCs w:val="44"/>
        </w:rPr>
        <w:t>课程模式说明</w:t>
      </w:r>
    </w:p>
    <w:p w14:paraId="26FE8AE9">
      <w:pPr>
        <w:jc w:val="center"/>
        <w:rPr>
          <w:rFonts w:hint="eastAsia" w:ascii="仿宋_GB2312" w:hAnsi="宋体" w:eastAsia="仿宋_GB2312" w:cs="方正小标宋简体"/>
          <w:b/>
          <w:bCs/>
          <w:sz w:val="32"/>
          <w:szCs w:val="32"/>
        </w:rPr>
      </w:pPr>
      <w:r>
        <w:rPr>
          <w:rFonts w:hint="eastAsia" w:ascii="仿宋_GB2312" w:hAnsi="宋体" w:eastAsia="仿宋_GB2312" w:cs="方正小标宋简体"/>
          <w:b/>
          <w:bCs/>
          <w:sz w:val="32"/>
          <w:szCs w:val="32"/>
        </w:rPr>
        <w:t>2026年春季学期</w:t>
      </w:r>
    </w:p>
    <w:p w14:paraId="3853B658">
      <w:pPr>
        <w:pStyle w:val="9"/>
        <w:numPr>
          <w:ilvl w:val="0"/>
          <w:numId w:val="1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b/>
          <w:bCs/>
          <w:sz w:val="24"/>
        </w:rPr>
      </w:pPr>
      <w:r>
        <w:rPr>
          <w:rFonts w:hint="eastAsia" w:ascii="仿宋_GB2312" w:hAnsi="宋体" w:eastAsia="仿宋_GB2312" w:cs="方正小标宋简体"/>
          <w:b/>
          <w:bCs/>
          <w:sz w:val="24"/>
        </w:rPr>
        <w:t>课程概要</w:t>
      </w:r>
    </w:p>
    <w:p w14:paraId="286B5EEB">
      <w:pPr>
        <w:pStyle w:val="9"/>
        <w:numPr>
          <w:ilvl w:val="0"/>
          <w:numId w:val="2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sz w:val="18"/>
          <w:szCs w:val="18"/>
        </w:rPr>
        <w:t>课程均由世界知名院校的现任教授负责设计，并亲自授课。2026年春季学期拟开设</w:t>
      </w:r>
      <w:r>
        <w:rPr>
          <w:rFonts w:hint="eastAsia" w:ascii="仿宋_GB2312" w:hAnsi="宋体" w:eastAsia="仿宋_GB2312" w:cs="方正小标宋简体"/>
          <w:sz w:val="18"/>
          <w:szCs w:val="18"/>
          <w:lang w:eastAsia="zh-CN"/>
        </w:rPr>
        <w:t>的课程</w:t>
      </w:r>
      <w:r>
        <w:rPr>
          <w:rFonts w:hint="eastAsia" w:ascii="仿宋_GB2312" w:hAnsi="宋体" w:eastAsia="仿宋_GB2312" w:cs="方正小标宋简体"/>
          <w:sz w:val="18"/>
          <w:szCs w:val="18"/>
        </w:rPr>
        <w:t>涵盖文理工商等不同学科方向。</w:t>
      </w:r>
    </w:p>
    <w:p w14:paraId="5A3B61D7">
      <w:pPr>
        <w:pStyle w:val="9"/>
        <w:numPr>
          <w:ilvl w:val="0"/>
          <w:numId w:val="2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sz w:val="18"/>
          <w:szCs w:val="18"/>
        </w:rPr>
        <w:t>课程周期共</w:t>
      </w: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12周</w:t>
      </w:r>
      <w:r>
        <w:rPr>
          <w:rFonts w:hint="eastAsia" w:ascii="仿宋_GB2312" w:hAnsi="宋体" w:eastAsia="仿宋_GB2312" w:cs="方正小标宋简体"/>
          <w:sz w:val="18"/>
          <w:szCs w:val="18"/>
        </w:rPr>
        <w:t>，由</w:t>
      </w: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直播授课和分组实践</w:t>
      </w:r>
      <w:r>
        <w:rPr>
          <w:rFonts w:hint="eastAsia" w:ascii="仿宋_GB2312" w:hAnsi="宋体" w:eastAsia="仿宋_GB2312" w:cs="方正小标宋简体"/>
          <w:sz w:val="18"/>
          <w:szCs w:val="18"/>
        </w:rPr>
        <w:t>两个阶段组成。直播授课从第1周至第11周（教授课32课时，助教课16课时）</w:t>
      </w:r>
      <w:r>
        <w:rPr>
          <w:rFonts w:hint="eastAsia" w:ascii="仿宋_GB2312" w:hAnsi="宋体" w:eastAsia="仿宋_GB2312" w:cs="方正小标宋简体"/>
          <w:sz w:val="18"/>
          <w:szCs w:val="18"/>
          <w:lang w:eastAsia="zh-CN"/>
        </w:rPr>
        <w:t>；</w:t>
      </w:r>
      <w:r>
        <w:rPr>
          <w:rFonts w:hint="eastAsia" w:ascii="仿宋_GB2312" w:hAnsi="宋体" w:eastAsia="仿宋_GB2312" w:cs="方正小标宋简体"/>
          <w:sz w:val="18"/>
          <w:szCs w:val="18"/>
        </w:rPr>
        <w:t>分组实践从第9周至第12周（辅导课8课时）。</w:t>
      </w:r>
    </w:p>
    <w:p w14:paraId="5B5AFE4D">
      <w:pPr>
        <w:pStyle w:val="9"/>
        <w:numPr>
          <w:ilvl w:val="0"/>
          <w:numId w:val="2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sz w:val="18"/>
          <w:szCs w:val="18"/>
        </w:rPr>
        <w:t>本课程通过NeoSchool平台进行教学、考勤、作业和考试等环节。学生在学校报名成功后，项目办将为</w:t>
      </w:r>
      <w:r>
        <w:rPr>
          <w:rFonts w:hint="eastAsia" w:ascii="仿宋_GB2312" w:hAnsi="宋体" w:eastAsia="仿宋_GB2312" w:cs="方正小标宋简体"/>
          <w:sz w:val="18"/>
          <w:szCs w:val="18"/>
          <w:lang w:eastAsia="zh-CN"/>
        </w:rPr>
        <w:t>该</w:t>
      </w:r>
      <w:r>
        <w:rPr>
          <w:rFonts w:hint="eastAsia" w:ascii="仿宋_GB2312" w:hAnsi="宋体" w:eastAsia="仿宋_GB2312" w:cs="方正小标宋简体"/>
          <w:sz w:val="18"/>
          <w:szCs w:val="18"/>
        </w:rPr>
        <w:t>学生开通平台账号，学生登录平台并认证后，进行选课和上课等相关操作。</w:t>
      </w:r>
    </w:p>
    <w:p w14:paraId="61CA1163">
      <w:pPr>
        <w:pStyle w:val="9"/>
        <w:numPr>
          <w:ilvl w:val="0"/>
          <w:numId w:val="1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b/>
          <w:bCs/>
          <w:sz w:val="24"/>
        </w:rPr>
      </w:pPr>
      <w:r>
        <w:rPr>
          <w:rFonts w:hint="eastAsia" w:ascii="仿宋_GB2312" w:hAnsi="宋体" w:eastAsia="仿宋_GB2312" w:cs="方正小标宋简体"/>
          <w:b/>
          <w:bCs/>
          <w:sz w:val="24"/>
        </w:rPr>
        <w:t>课程模式及安排</w:t>
      </w:r>
    </w:p>
    <w:p w14:paraId="2743CFF1">
      <w:pPr>
        <w:spacing w:before="156" w:beforeLines="50"/>
        <w:ind w:firstLine="361" w:firstLineChars="20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课程模式：</w:t>
      </w:r>
      <w:r>
        <w:rPr>
          <w:rFonts w:hint="eastAsia" w:ascii="仿宋_GB2312" w:hAnsi="宋体" w:eastAsia="仿宋_GB2312" w:cs="方正小标宋简体"/>
          <w:sz w:val="18"/>
          <w:szCs w:val="18"/>
        </w:rPr>
        <w:t>在线直播授课，参课学生单独线上登录上课。教授课程为英文授课，助教辅导课和分组研讨辅导课为中文授课。</w:t>
      </w:r>
    </w:p>
    <w:p w14:paraId="6C213E37">
      <w:pPr>
        <w:spacing w:before="156" w:beforeLines="50"/>
        <w:ind w:firstLine="361" w:firstLineChars="20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课程安排：2026年3月13日</w:t>
      </w:r>
      <w:r>
        <w:rPr>
          <w:rFonts w:hint="eastAsia" w:ascii="仿宋_GB2312" w:hAnsi="宋体" w:eastAsia="仿宋_GB2312" w:cs="方正小标宋简体"/>
          <w:b/>
          <w:bCs/>
          <w:sz w:val="18"/>
          <w:szCs w:val="18"/>
          <w:lang w:eastAsia="zh-CN"/>
        </w:rPr>
        <w:t>—</w:t>
      </w: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2026年5月31日</w:t>
      </w:r>
      <w:r>
        <w:rPr>
          <w:rFonts w:hint="eastAsia" w:ascii="仿宋_GB2312" w:hAnsi="宋体" w:eastAsia="仿宋_GB2312" w:cs="方正小标宋简体"/>
          <w:sz w:val="18"/>
          <w:szCs w:val="18"/>
        </w:rPr>
        <w:t>，每周末上课。</w:t>
      </w:r>
    </w:p>
    <w:tbl>
      <w:tblPr>
        <w:tblStyle w:val="5"/>
        <w:tblW w:w="94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742"/>
        <w:gridCol w:w="637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747"/>
      </w:tblGrid>
      <w:tr w14:paraId="34116C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 w14:paraId="54A69A45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 xml:space="preserve">           周数</w:t>
            </w:r>
          </w:p>
          <w:p w14:paraId="16791C2A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 xml:space="preserve">课程阶段   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A3B98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1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D02DF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2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3F7E1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3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96EE4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4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02035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5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06301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6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2D75B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7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CAE86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8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03D2B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9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78970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10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08054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11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7ECE9">
            <w:pPr>
              <w:widowControl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12</w:t>
            </w:r>
          </w:p>
        </w:tc>
      </w:tr>
      <w:tr w14:paraId="7D12A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3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769C0E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Lectures</w:t>
            </w:r>
          </w:p>
          <w:p w14:paraId="304D7305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直播授课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2478E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教授课程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FEA07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3</w:t>
            </w:r>
          </w:p>
          <w:p w14:paraId="7881E768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76AF5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3</w:t>
            </w:r>
          </w:p>
          <w:p w14:paraId="0DEEFB52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C22C0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3</w:t>
            </w:r>
          </w:p>
          <w:p w14:paraId="4C3DEECD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EFA26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3</w:t>
            </w:r>
          </w:p>
          <w:p w14:paraId="16CF6F2E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8F66D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4</w:t>
            </w:r>
          </w:p>
          <w:p w14:paraId="3A428EB6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9B12A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期中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E51F4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3</w:t>
            </w:r>
          </w:p>
          <w:p w14:paraId="035AD23D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02468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3</w:t>
            </w:r>
          </w:p>
          <w:p w14:paraId="0DC1971B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E9ACF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3</w:t>
            </w:r>
          </w:p>
          <w:p w14:paraId="4F15D349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77A6E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kern w:val="0"/>
                <w:sz w:val="15"/>
                <w:szCs w:val="15"/>
              </w:rPr>
              <w:t>3</w:t>
            </w:r>
          </w:p>
          <w:p w14:paraId="1E007873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986E2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kern w:val="0"/>
                <w:sz w:val="15"/>
                <w:szCs w:val="15"/>
              </w:rPr>
              <w:t>4</w:t>
            </w:r>
          </w:p>
          <w:p w14:paraId="55583AEE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9AA75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/</w:t>
            </w:r>
          </w:p>
        </w:tc>
      </w:tr>
      <w:tr w14:paraId="797EF0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8099A6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34CE5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助教</w:t>
            </w:r>
          </w:p>
          <w:p w14:paraId="5DF9D3FE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辅导课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69934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1</w:t>
            </w:r>
          </w:p>
          <w:p w14:paraId="3370493E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691D5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1</w:t>
            </w:r>
          </w:p>
          <w:p w14:paraId="78058F10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E4E3B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1</w:t>
            </w:r>
          </w:p>
          <w:p w14:paraId="3F1BD2D3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3B4A2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3</w:t>
            </w:r>
          </w:p>
          <w:p w14:paraId="56E5655F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EC208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3</w:t>
            </w:r>
          </w:p>
          <w:p w14:paraId="6916828C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931F7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kern w:val="0"/>
                <w:sz w:val="15"/>
                <w:szCs w:val="15"/>
              </w:rPr>
              <w:t>/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E89FA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1</w:t>
            </w:r>
          </w:p>
          <w:p w14:paraId="28200CF8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E5511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1</w:t>
            </w:r>
          </w:p>
          <w:p w14:paraId="05325841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05874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kern w:val="0"/>
                <w:sz w:val="15"/>
                <w:szCs w:val="15"/>
              </w:rPr>
              <w:t>1</w:t>
            </w:r>
          </w:p>
          <w:p w14:paraId="2BFE45BD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63734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kern w:val="0"/>
                <w:sz w:val="15"/>
                <w:szCs w:val="15"/>
              </w:rPr>
              <w:t>2</w:t>
            </w:r>
          </w:p>
          <w:p w14:paraId="5340B409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AA0B9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kern w:val="0"/>
                <w:sz w:val="15"/>
                <w:szCs w:val="15"/>
              </w:rPr>
              <w:t>2</w:t>
            </w:r>
          </w:p>
          <w:p w14:paraId="7447978E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kern w:val="0"/>
                <w:sz w:val="15"/>
                <w:szCs w:val="15"/>
              </w:rPr>
              <w:t>课时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E1E11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/</w:t>
            </w:r>
          </w:p>
        </w:tc>
      </w:tr>
      <w:tr w14:paraId="53359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DADCA5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Projects</w:t>
            </w:r>
          </w:p>
          <w:p w14:paraId="084F6569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分组实践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21AD9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 Light" w:cs="Times New Roman"/>
                <w:b/>
                <w:bCs/>
                <w:kern w:val="0"/>
                <w:sz w:val="15"/>
                <w:szCs w:val="15"/>
              </w:rPr>
              <w:t>分组研讨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CEF65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/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8B322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/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CF717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/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02219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/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8CC69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/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69BE1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/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6E85E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微软雅黑 Light" w:cs="Times New Roman"/>
                <w:kern w:val="0"/>
                <w:sz w:val="15"/>
                <w:szCs w:val="15"/>
              </w:rPr>
              <w:t>学生组队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D51FC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 w:eastAsia="微软雅黑 Light" w:cs="Times New Roman"/>
                <w:kern w:val="0"/>
                <w:sz w:val="13"/>
                <w:szCs w:val="13"/>
              </w:rPr>
              <w:t>2课时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F29B5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 w:eastAsia="微软雅黑 Light" w:cs="Times New Roman"/>
                <w:kern w:val="0"/>
                <w:sz w:val="13"/>
                <w:szCs w:val="13"/>
              </w:rPr>
              <w:t>2课时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FD3A6">
            <w:pPr>
              <w:widowControl/>
              <w:spacing w:line="200" w:lineRule="exact"/>
              <w:rPr>
                <w:rFonts w:ascii="Times New Roman" w:hAnsi="Times New Roman" w:eastAsia="微软雅黑 Light" w:cs="Times New Roman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 w:eastAsia="微软雅黑 Light" w:cs="Times New Roman"/>
                <w:kern w:val="0"/>
                <w:sz w:val="13"/>
                <w:szCs w:val="13"/>
              </w:rPr>
              <w:t>2课时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791C6">
            <w:pPr>
              <w:widowControl/>
              <w:spacing w:line="200" w:lineRule="exact"/>
              <w:jc w:val="center"/>
              <w:rPr>
                <w:rFonts w:ascii="Times New Roman" w:hAnsi="Times New Roman" w:eastAsia="微软雅黑 Light" w:cs="Times New Roman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 w:eastAsia="微软雅黑 Light" w:cs="Times New Roman"/>
                <w:kern w:val="0"/>
                <w:sz w:val="13"/>
                <w:szCs w:val="13"/>
              </w:rPr>
              <w:t>2课时/提交报告</w:t>
            </w:r>
          </w:p>
        </w:tc>
      </w:tr>
    </w:tbl>
    <w:p w14:paraId="69642823">
      <w:pPr>
        <w:ind w:firstLine="301" w:firstLineChars="200"/>
        <w:jc w:val="left"/>
        <w:rPr>
          <w:rFonts w:hint="eastAsia" w:ascii="仿宋_GB2312" w:hAnsi="宋体" w:eastAsia="仿宋_GB2312" w:cs="方正小标宋简体"/>
          <w:i/>
          <w:iCs/>
          <w:sz w:val="15"/>
          <w:szCs w:val="15"/>
        </w:rPr>
      </w:pPr>
      <w:r>
        <w:rPr>
          <w:rFonts w:hint="eastAsia" w:ascii="仿宋_GB2312" w:hAnsi="宋体" w:eastAsia="仿宋_GB2312" w:cs="方正小标宋简体"/>
          <w:b/>
          <w:bCs/>
          <w:i/>
          <w:iCs/>
          <w:sz w:val="15"/>
          <w:szCs w:val="15"/>
        </w:rPr>
        <w:t>备注：</w:t>
      </w:r>
      <w:r>
        <w:rPr>
          <w:rFonts w:hint="eastAsia" w:ascii="仿宋_GB2312" w:hAnsi="宋体" w:eastAsia="仿宋_GB2312" w:cs="方正小标宋简体"/>
          <w:i/>
          <w:iCs/>
          <w:sz w:val="15"/>
          <w:szCs w:val="15"/>
        </w:rPr>
        <w:t>助教老师具有世界名校相关专业研究生背景、通晓中英文双语，并具备丰富学生辅导经验。</w:t>
      </w:r>
    </w:p>
    <w:p w14:paraId="3CD86993">
      <w:pPr>
        <w:pStyle w:val="9"/>
        <w:numPr>
          <w:ilvl w:val="0"/>
          <w:numId w:val="1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b/>
          <w:bCs/>
          <w:sz w:val="24"/>
        </w:rPr>
      </w:pPr>
      <w:r>
        <w:rPr>
          <w:rFonts w:hint="eastAsia" w:ascii="仿宋_GB2312" w:hAnsi="宋体" w:eastAsia="仿宋_GB2312" w:cs="方正小标宋简体"/>
          <w:b/>
          <w:bCs/>
          <w:sz w:val="24"/>
        </w:rPr>
        <w:t>授课平台</w:t>
      </w:r>
    </w:p>
    <w:p w14:paraId="2FD42E64">
      <w:pPr>
        <w:spacing w:before="156" w:beforeLines="50"/>
        <w:ind w:firstLine="361" w:firstLineChars="200"/>
        <w:jc w:val="left"/>
        <w:rPr>
          <w:rFonts w:hint="eastAsia" w:ascii="仿宋_GB2312" w:hAnsi="宋体" w:eastAsia="仿宋_GB2312" w:cs="方正小标宋简体"/>
          <w:b/>
          <w:bCs/>
          <w:sz w:val="18"/>
          <w:szCs w:val="18"/>
        </w:rPr>
      </w:pP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授课平台：NeoSchool虚拟大学交互式学习系统</w:t>
      </w:r>
    </w:p>
    <w:p w14:paraId="39D56024">
      <w:pPr>
        <w:pStyle w:val="9"/>
        <w:numPr>
          <w:ilvl w:val="0"/>
          <w:numId w:val="3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sz w:val="18"/>
          <w:szCs w:val="18"/>
        </w:rPr>
        <w:t>平台具备课前预习、考勤、听课、课堂互动、作业、考试、录播回看、课件查看等功能；</w:t>
      </w:r>
    </w:p>
    <w:p w14:paraId="4F46A2A7">
      <w:pPr>
        <w:pStyle w:val="9"/>
        <w:numPr>
          <w:ilvl w:val="0"/>
          <w:numId w:val="3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sz w:val="18"/>
          <w:szCs w:val="18"/>
        </w:rPr>
        <w:t>学生可在教授上课期间开启双语实时字幕翻译功能；</w:t>
      </w:r>
    </w:p>
    <w:p w14:paraId="4DC1572B">
      <w:pPr>
        <w:pStyle w:val="9"/>
        <w:numPr>
          <w:ilvl w:val="0"/>
          <w:numId w:val="3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sz w:val="18"/>
          <w:szCs w:val="18"/>
        </w:rPr>
        <w:t>学生成功报名本项目后，将开通平台账号。学生登录平台认证后，可进行选课及上课等相关操作；</w:t>
      </w:r>
    </w:p>
    <w:p w14:paraId="73231A98">
      <w:pPr>
        <w:pStyle w:val="9"/>
        <w:numPr>
          <w:ilvl w:val="0"/>
          <w:numId w:val="3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sz w:val="18"/>
          <w:szCs w:val="18"/>
        </w:rPr>
        <w:t>学生提交作业和在线考试均通过平台进行。</w:t>
      </w:r>
    </w:p>
    <w:p w14:paraId="189FDD24">
      <w:pPr>
        <w:pStyle w:val="9"/>
        <w:numPr>
          <w:ilvl w:val="0"/>
          <w:numId w:val="1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b/>
          <w:bCs/>
          <w:sz w:val="24"/>
        </w:rPr>
      </w:pPr>
      <w:r>
        <w:rPr>
          <w:rFonts w:hint="eastAsia" w:ascii="仿宋_GB2312" w:hAnsi="宋体" w:eastAsia="仿宋_GB2312" w:cs="方正小标宋简体"/>
          <w:b/>
          <w:bCs/>
          <w:sz w:val="24"/>
        </w:rPr>
        <w:t>考核形式</w:t>
      </w:r>
    </w:p>
    <w:p w14:paraId="1775BF18">
      <w:pPr>
        <w:pStyle w:val="9"/>
        <w:numPr>
          <w:ilvl w:val="0"/>
          <w:numId w:val="4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考核内容：</w:t>
      </w:r>
      <w:r>
        <w:rPr>
          <w:rFonts w:hint="eastAsia" w:ascii="仿宋_GB2312" w:hAnsi="宋体" w:eastAsia="仿宋_GB2312" w:cs="方正小标宋简体"/>
          <w:sz w:val="18"/>
          <w:szCs w:val="18"/>
        </w:rPr>
        <w:t>考勤、作业、期中考试、期末结课报告；</w:t>
      </w:r>
    </w:p>
    <w:p w14:paraId="02112780">
      <w:pPr>
        <w:pStyle w:val="9"/>
        <w:numPr>
          <w:ilvl w:val="0"/>
          <w:numId w:val="4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考核比例：</w:t>
      </w:r>
      <w:r>
        <w:rPr>
          <w:rFonts w:hint="eastAsia" w:ascii="仿宋_GB2312" w:hAnsi="宋体" w:eastAsia="仿宋_GB2312" w:cs="方正小标宋简体"/>
          <w:sz w:val="18"/>
          <w:szCs w:val="18"/>
        </w:rPr>
        <w:t>考勤10%，作业40%，期中考试25%，期末结课报告25</w:t>
      </w:r>
      <w:r>
        <w:rPr>
          <w:rFonts w:hint="eastAsia" w:ascii="仿宋_GB2312" w:hAnsi="宋体" w:eastAsia="仿宋_GB2312" w:cs="方正小标宋简体"/>
          <w:sz w:val="18"/>
          <w:szCs w:val="18"/>
          <w:lang w:eastAsia="zh-CN"/>
        </w:rPr>
        <w:t>%。</w:t>
      </w:r>
    </w:p>
    <w:p w14:paraId="19715679">
      <w:pPr>
        <w:spacing w:before="156" w:beforeLines="50"/>
        <w:ind w:left="420"/>
        <w:jc w:val="left"/>
        <w:rPr>
          <w:rFonts w:hint="eastAsia" w:ascii="仿宋_GB2312" w:hAnsi="宋体" w:eastAsia="仿宋_GB2312" w:cs="方正小标宋简体"/>
          <w:i/>
          <w:iCs/>
          <w:sz w:val="15"/>
          <w:szCs w:val="15"/>
        </w:rPr>
      </w:pPr>
      <w:r>
        <w:rPr>
          <w:rFonts w:hint="eastAsia" w:ascii="仿宋_GB2312" w:hAnsi="宋体" w:eastAsia="仿宋_GB2312" w:cs="方正小标宋简体"/>
          <w:b/>
          <w:bCs/>
          <w:i/>
          <w:iCs/>
          <w:sz w:val="15"/>
          <w:szCs w:val="15"/>
        </w:rPr>
        <w:t>备注：</w:t>
      </w:r>
      <w:r>
        <w:rPr>
          <w:rFonts w:hint="eastAsia" w:ascii="仿宋_GB2312" w:hAnsi="宋体" w:eastAsia="仿宋_GB2312" w:cs="方正小标宋简体"/>
          <w:i/>
          <w:iCs/>
          <w:sz w:val="15"/>
          <w:szCs w:val="15"/>
        </w:rPr>
        <w:t>个别课程的考核比例因教授而异，请以教授实际考核安排为准。</w:t>
      </w:r>
    </w:p>
    <w:p w14:paraId="52131D40">
      <w:pPr>
        <w:pStyle w:val="9"/>
        <w:numPr>
          <w:ilvl w:val="0"/>
          <w:numId w:val="1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b/>
          <w:bCs/>
          <w:sz w:val="24"/>
        </w:rPr>
      </w:pPr>
      <w:r>
        <w:rPr>
          <w:rFonts w:hint="eastAsia" w:ascii="仿宋_GB2312" w:hAnsi="宋体" w:eastAsia="仿宋_GB2312" w:cs="方正小标宋简体"/>
          <w:b/>
          <w:bCs/>
          <w:sz w:val="24"/>
        </w:rPr>
        <w:t>课程收获</w:t>
      </w:r>
    </w:p>
    <w:p w14:paraId="7F5E3D9B">
      <w:pPr>
        <w:pStyle w:val="9"/>
        <w:numPr>
          <w:ilvl w:val="0"/>
          <w:numId w:val="5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学分：</w:t>
      </w:r>
      <w:r>
        <w:rPr>
          <w:rFonts w:hint="eastAsia" w:ascii="仿宋_GB2312" w:hAnsi="宋体" w:eastAsia="仿宋_GB2312" w:cs="方正小标宋简体"/>
          <w:sz w:val="18"/>
          <w:szCs w:val="18"/>
        </w:rPr>
        <w:t>成绩合格，按照院校相关规定，授予相应学分；</w:t>
      </w:r>
    </w:p>
    <w:p w14:paraId="6CBDC992">
      <w:pPr>
        <w:pStyle w:val="9"/>
        <w:numPr>
          <w:ilvl w:val="0"/>
          <w:numId w:val="5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b/>
          <w:bCs/>
          <w:sz w:val="18"/>
          <w:szCs w:val="18"/>
        </w:rPr>
      </w:pP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结课证书：</w:t>
      </w:r>
      <w:r>
        <w:rPr>
          <w:rFonts w:hint="eastAsia" w:ascii="仿宋_GB2312" w:hAnsi="宋体" w:eastAsia="仿宋_GB2312" w:cs="方正小标宋简体"/>
          <w:sz w:val="18"/>
          <w:szCs w:val="18"/>
        </w:rPr>
        <w:t>成绩合格，由中国教育国际交流研修学院颁发双语结业证书；</w:t>
      </w:r>
    </w:p>
    <w:p w14:paraId="5C644C08">
      <w:pPr>
        <w:pStyle w:val="9"/>
        <w:numPr>
          <w:ilvl w:val="0"/>
          <w:numId w:val="5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结课成绩单；</w:t>
      </w:r>
    </w:p>
    <w:p w14:paraId="0A2BFAE8">
      <w:pPr>
        <w:pStyle w:val="9"/>
        <w:numPr>
          <w:ilvl w:val="0"/>
          <w:numId w:val="5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b/>
          <w:bCs/>
          <w:sz w:val="18"/>
          <w:szCs w:val="18"/>
        </w:rPr>
        <w:t>结课报告：</w:t>
      </w:r>
      <w:r>
        <w:rPr>
          <w:rFonts w:hint="eastAsia" w:ascii="仿宋_GB2312" w:hAnsi="宋体" w:eastAsia="仿宋_GB2312" w:cs="方正小标宋简体"/>
          <w:sz w:val="18"/>
          <w:szCs w:val="18"/>
        </w:rPr>
        <w:t>完成一篇围绕科研实践的结课报告。</w:t>
      </w:r>
    </w:p>
    <w:p w14:paraId="13B7EF29">
      <w:pPr>
        <w:pStyle w:val="9"/>
        <w:numPr>
          <w:ilvl w:val="0"/>
          <w:numId w:val="1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b/>
          <w:bCs/>
          <w:sz w:val="24"/>
        </w:rPr>
      </w:pPr>
      <w:r>
        <w:rPr>
          <w:rFonts w:hint="eastAsia" w:ascii="仿宋_GB2312" w:hAnsi="宋体" w:eastAsia="仿宋_GB2312" w:cs="方正小标宋简体"/>
          <w:b/>
          <w:bCs/>
          <w:sz w:val="24"/>
        </w:rPr>
        <w:t>课程清单</w:t>
      </w:r>
    </w:p>
    <w:tbl>
      <w:tblPr>
        <w:tblStyle w:val="5"/>
        <w:tblW w:w="8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388"/>
        <w:gridCol w:w="1108"/>
        <w:gridCol w:w="967"/>
        <w:gridCol w:w="1308"/>
        <w:gridCol w:w="1660"/>
        <w:gridCol w:w="2568"/>
      </w:tblGrid>
      <w:tr w14:paraId="50A82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594" w:type="dxa"/>
            <w:shd w:val="clear" w:color="auto" w:fill="FFFFFF"/>
            <w:vAlign w:val="center"/>
          </w:tcPr>
          <w:p w14:paraId="2C68A0C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一级学科</w:t>
            </w:r>
          </w:p>
        </w:tc>
        <w:tc>
          <w:tcPr>
            <w:tcW w:w="388" w:type="dxa"/>
            <w:shd w:val="clear" w:color="auto" w:fill="FFFFFF"/>
            <w:vAlign w:val="center"/>
          </w:tcPr>
          <w:p w14:paraId="44EC8E1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序号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4213F11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二级学科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1215701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三级学科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5B7A605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教授姓名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00D00EE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来自院校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48D981F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课题名称</w:t>
            </w:r>
          </w:p>
        </w:tc>
      </w:tr>
      <w:tr w14:paraId="02A4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restart"/>
            <w:shd w:val="clear" w:color="auto" w:fill="FFFFFF"/>
            <w:vAlign w:val="center"/>
          </w:tcPr>
          <w:p w14:paraId="5E46616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工科类</w:t>
            </w:r>
          </w:p>
        </w:tc>
        <w:tc>
          <w:tcPr>
            <w:tcW w:w="388" w:type="dxa"/>
            <w:shd w:val="clear" w:color="auto" w:fill="FFFFFF"/>
            <w:vAlign w:val="center"/>
          </w:tcPr>
          <w:p w14:paraId="4D1420E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183F58B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计算机科学/人工智能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513B6F0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机器学习/深度学习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701F0D6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  <w:t>Björn Schuller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7251E22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帝国理工学院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4A5F2713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bookmarkStart w:id="0" w:name="RANGE!G4"/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人工智能：机器学习与深度学习的多维应用</w:t>
            </w:r>
            <w:bookmarkEnd w:id="0"/>
          </w:p>
        </w:tc>
      </w:tr>
      <w:tr w14:paraId="07E4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6A1B5CBE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36C1CFB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444ACFD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计算机科学/人工智能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05151B1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机器人学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15BD17F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Sen Wang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124D846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帝国理工学院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42DD07D5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人工智能与机械工程：机器人视觉、多传感器融合与自动驾驶</w:t>
            </w:r>
          </w:p>
        </w:tc>
      </w:tr>
      <w:tr w14:paraId="7FF6B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62359D51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3DE1097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3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7D35CAC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计算机科学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13B2759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软件工程/游戏设计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4054F3A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  <w:t>William Nace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1613F51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卡内基梅隆大学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16ADEEF0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软件工程与游戏设计：算法在游戏设计中的应用</w:t>
            </w:r>
          </w:p>
        </w:tc>
      </w:tr>
      <w:tr w14:paraId="27B09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3717AE7F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228E1C7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4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40E71BB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计算机科学/人工智能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7D1FC39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数据科学/自然语言处理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469FCFA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  <w:t>Patrick Houlihan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7BEDF1F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哥伦比亚大学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72676DD5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数据科学与人工智能：深度学习在自然语言处理中的应用</w:t>
            </w:r>
          </w:p>
        </w:tc>
      </w:tr>
      <w:tr w14:paraId="6644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3BE2582C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755D709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1CB449B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计算机科学/人工智能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4B7BA4B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机器学习/数据科学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616A56F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  <w:t>Gunther Roland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4797502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麻省理工学院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12EB66ED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人工智能：科学化数据分析与机器学习应用</w:t>
            </w:r>
          </w:p>
        </w:tc>
      </w:tr>
      <w:tr w14:paraId="6C80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77182413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742CEB3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6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7A4919D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计算机科学/人工智能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61720E9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机器学习/数据科学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6FA7D3C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  <w:t>Raja Sooriamurthi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1474A0B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卡内基梅隆大学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59452B52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人工智能：机器学习在数据分析及自然语言处理中的实际运用</w:t>
            </w:r>
          </w:p>
        </w:tc>
      </w:tr>
      <w:tr w14:paraId="04503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18DE36C6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1FE8126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7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25162C3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计算机科学/人工智能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5EAC1CE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机器翻译/自然语言处理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0BDE276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Philipp Koehn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649A97E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约翰斯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eastAsia="zh-CN"/>
              </w:rPr>
              <w:t>·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霍普金斯大学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19C31C18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人工智能：机器人学、游戏设计与机器翻译中的算法与优化</w:t>
            </w:r>
          </w:p>
        </w:tc>
      </w:tr>
      <w:tr w14:paraId="10055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13843A3A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52BA759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8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563D4C3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计算机科学/人工智能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08A19C3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机器学习与深度学习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3AF2D9B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David Woodruff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11967B3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卡内基梅隆大学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55011ED4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人工智能：大规模数据分析与机器学习模型中的算法优化</w:t>
            </w:r>
          </w:p>
        </w:tc>
      </w:tr>
      <w:tr w14:paraId="6BA25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3749C71A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2467F4D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9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4329492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计算机科学/人工智能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21E9387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计算机视觉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0B27DD0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Jens Rittscher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135777C4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牛津大学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1D9A5759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计算机视觉：基于机器学习的人脸识别、自动驾驶和图像处理</w:t>
            </w:r>
          </w:p>
        </w:tc>
      </w:tr>
      <w:tr w14:paraId="71A96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EBF1A28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145B426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0C103DE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计算机科学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66233C0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运筹学/系统工程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70C3B1F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Peter Zhang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1E8F122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卡内基梅隆大学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71B7DEF1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人工智能与运筹学：复杂决策系统中的随机最优控制及优化理论</w:t>
            </w:r>
          </w:p>
        </w:tc>
      </w:tr>
      <w:tr w14:paraId="324D0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0B10DBCF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20CD3A3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11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7C3E20C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机械工程/结构工程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767D186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可展开结构/空间可折叠结构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381D658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Zhong You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5ACDDF7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牛津大学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27029AC5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机械工程与材料工程：运动结构原理与可展开机械结构</w:t>
            </w:r>
          </w:p>
        </w:tc>
      </w:tr>
      <w:tr w14:paraId="3DEBF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F7956E4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7D0749A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12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1BA0BFC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机械工程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00E99C0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车辆工程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1D1423A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Diana Haidar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28A9308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卡内基梅隆大学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7DB6EB50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机械工程与车辆工程：从汽车组件设计到车辆自动化与电气化</w:t>
            </w:r>
          </w:p>
        </w:tc>
      </w:tr>
      <w:tr w14:paraId="6169A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21699C54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6B9F012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13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4DFC2FA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电子工程/人工智能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5EBDD91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信号处理/人工智能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343E07A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  <w:t>Neal Bangerter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4AB818F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帝国理工学院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13A17A6B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电子工程：脑机接口的人工智能、微电子学与信号处理</w:t>
            </w:r>
          </w:p>
        </w:tc>
      </w:tr>
      <w:tr w14:paraId="1BCB9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2D064933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6532F17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14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6E65FDB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电子电气工程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59C3BBC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微电子学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4508DC2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Ya-Hong Xie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7FF18EF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加州大学洛杉矶分校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7107782B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电子工程：数字集成电路的设计研究及应用</w:t>
            </w:r>
          </w:p>
        </w:tc>
      </w:tr>
      <w:tr w14:paraId="60A06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6C00786F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69191E5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15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03AE4F6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电子电气工程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512984D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智能无人系统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40DA75E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Danijela Cabric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17E9656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加州大学洛杉矶分校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6FE2DA88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电子工程：物联网与无人机阵列网络通信系统设计</w:t>
            </w:r>
          </w:p>
        </w:tc>
      </w:tr>
      <w:tr w14:paraId="09D46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04DD6416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3C55574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16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31028DA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能源工程/环境工程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4A01C684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能源系统/可再生能源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4129974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Aidong Yang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739DA37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牛津大学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0195AF55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能源与环境：“碳中和”低碳技术与绿色能源系统优化设计</w:t>
            </w:r>
          </w:p>
        </w:tc>
      </w:tr>
      <w:tr w14:paraId="5F271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restart"/>
            <w:shd w:val="clear" w:color="auto" w:fill="FFFFFF"/>
            <w:vAlign w:val="center"/>
          </w:tcPr>
          <w:p w14:paraId="0D9EDCF5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63F37BA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17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4654242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环境工程/环境科学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5A73186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环境化学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102B013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Joe Moore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3F3138A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卡内基梅隆大学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42975107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环境化学：污水净化途径与水资源可持续管理系统</w:t>
            </w:r>
          </w:p>
        </w:tc>
      </w:tr>
      <w:tr w14:paraId="1F91B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67B8479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432B4C1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18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3D8C624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材料科学与工程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5DF1A4D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电池材料/储能系统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3E007A3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Julia R. Greer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0DDF4D0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加州理工学院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78A634A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材料科学与能源储存：化学能源与储能系统中的材料结构与性能</w:t>
            </w:r>
          </w:p>
        </w:tc>
      </w:tr>
      <w:tr w14:paraId="0FE15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restart"/>
            <w:shd w:val="clear" w:color="auto" w:fill="FFFFFF"/>
            <w:vAlign w:val="center"/>
          </w:tcPr>
          <w:p w14:paraId="78405A9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理科类</w:t>
            </w:r>
          </w:p>
        </w:tc>
        <w:tc>
          <w:tcPr>
            <w:tcW w:w="388" w:type="dxa"/>
            <w:shd w:val="clear" w:color="auto" w:fill="FFFFFF"/>
            <w:vAlign w:val="center"/>
          </w:tcPr>
          <w:p w14:paraId="57DF93C4">
            <w:pPr>
              <w:widowControl/>
              <w:jc w:val="center"/>
              <w:rPr>
                <w:rFonts w:hint="default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3734A27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生物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7948938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分子生物学/神经科学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7050910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Samuel Kunes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5DD7FA6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哈佛大学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41AD306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生物学：阿尔茨海默症等脑神经疾病中的分子生物学研究</w:t>
            </w:r>
          </w:p>
        </w:tc>
      </w:tr>
      <w:tr w14:paraId="6E026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5307786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60A38726">
            <w:pPr>
              <w:widowControl/>
              <w:jc w:val="center"/>
              <w:rPr>
                <w:rFonts w:hint="default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20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7C84945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生物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053AEDA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生物化学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40BAD2E4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Jason Sello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5A393E6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加州大学旧金山分校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611C03D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化学与生物学：药品研发、生产及药理分析</w:t>
            </w:r>
          </w:p>
        </w:tc>
      </w:tr>
      <w:tr w14:paraId="45006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6C4DC63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7EBAA6C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2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599C853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生物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64B085D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发育生物学/细胞生物学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630BA60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Aziz Aboobaker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50EC5BD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牛津大学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168C1B0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生物学：基于干细胞研究的动物生长发育机理探究</w:t>
            </w:r>
          </w:p>
        </w:tc>
      </w:tr>
      <w:tr w14:paraId="15750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3B90304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259A1C1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2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2435877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生物医学工程/化学/材料工程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349993A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生物材料/有机化学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02C3325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Benjamin Almquist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156EC29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帝国理工学院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552C014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生物医学工程：医用材料与生物纳米技术</w:t>
            </w:r>
          </w:p>
        </w:tc>
      </w:tr>
      <w:tr w14:paraId="56726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66FB19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45FC364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2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77BA645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生命科学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44A8E3D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营养学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1E3A188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Mary Flynn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35CB05C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布朗大学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48AA4364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生物医学：膳食营养与慢性疾病的预防</w:t>
            </w:r>
          </w:p>
        </w:tc>
      </w:tr>
      <w:tr w14:paraId="5F460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7D0A35C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0BBE2FD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2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1A3D500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生命科学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3D32D92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免疫学/分子生物学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62C0AB9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Alexander Ploss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1484A41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普林斯顿大学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3F96E79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免疫学：疫苗、免疫系统与抗肿瘤药物研究</w:t>
            </w:r>
          </w:p>
        </w:tc>
      </w:tr>
      <w:tr w14:paraId="2DBA3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1D6A2BC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0D1F133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2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7C300FB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公共卫生/医学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5AD80CA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公共卫生/全球健康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2D69C0B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Katherine F. Smith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4D136E8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布朗大学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7D84B59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医学与公共卫生：行星健康视角下的环境变迁与人类健康研究</w:t>
            </w:r>
          </w:p>
        </w:tc>
      </w:tr>
      <w:tr w14:paraId="16B6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5B99AFE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31FE91C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2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6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0E2B5D1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物理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309F982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天体物理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759D8EC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Enrico Pajer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387B240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剑桥大学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6721581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物理学：从广义相对论探索宇宙起源</w:t>
            </w:r>
          </w:p>
        </w:tc>
      </w:tr>
      <w:tr w14:paraId="31E0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748B185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1730ED7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2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7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4B12A27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24EF2D2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离散数学/代数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06A347E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Dan Ciubotaru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4109EE2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牛津大学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3502902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数学：抽象代数中的微积分与组合数学</w:t>
            </w:r>
          </w:p>
        </w:tc>
      </w:tr>
      <w:tr w14:paraId="07B1A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087B0D7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73C1293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2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8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5457BEC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应用数学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453FE72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数值分析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3F92FEA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Ming Gu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054158A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加州大学伯克利分校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36F34A7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应用数学：数值分析与算法优化设计</w:t>
            </w:r>
          </w:p>
        </w:tc>
      </w:tr>
      <w:tr w14:paraId="5FEE0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59F8A8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1492F71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2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651D620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应用数学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334777D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数值分析/算法理论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57CE761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Anastasia Romanou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2695F0A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哥伦比亚大学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613F1B4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应用数学与机器学习：工程实践与社会科学中的数值计算与统计分析模型</w:t>
            </w:r>
          </w:p>
        </w:tc>
      </w:tr>
      <w:tr w14:paraId="7071B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9AA6FF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2A971075">
            <w:pPr>
              <w:widowControl/>
              <w:jc w:val="center"/>
              <w:rPr>
                <w:rFonts w:hint="default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30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005F204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化学/化学工程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5C666AC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有机化学/化学合成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601C5C5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Brian Stoltz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3B0E84D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加州理工学院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370AF7C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化学：有机物的结构、反应与合成</w:t>
            </w:r>
          </w:p>
        </w:tc>
      </w:tr>
      <w:tr w14:paraId="55127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5528330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0239869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3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73EDA89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地球科学/气候科学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7F69C99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地理信息/空间数据科学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1867150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George Tselioudis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459D599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哥伦比亚大学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4082153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地理信息：基于GIS数据的地球气候变暖模型与环境变迁</w:t>
            </w:r>
          </w:p>
        </w:tc>
      </w:tr>
      <w:tr w14:paraId="12C25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1BC9164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7A22879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3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19B872A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心理学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5413B04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认知心理学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125DBF4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Daniel Casasanto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317FBE7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康奈尔大学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0CBAB38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认知心理学与神经科学：大脑思维与记忆之间的关联机制分析</w:t>
            </w:r>
          </w:p>
        </w:tc>
      </w:tr>
      <w:tr w14:paraId="4D40B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3DC40B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73AAB5A4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3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770751A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心理学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6ED393D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神经科学/认知心理学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45DB467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Robin Murphy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082A44D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牛津大学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589F427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认知心理学与神经科学：抑郁及焦虑症等病理与脑神经的关联性</w:t>
            </w:r>
          </w:p>
        </w:tc>
      </w:tr>
      <w:tr w14:paraId="65EB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21F6F99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60A1B23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34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232EF604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心理学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14B6A55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社会心理学/文化心理学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671E48B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Helen Haste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7D19ADF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巴斯大学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39EB9F8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社会心理学：社会结构下的群体偏见与跨文化比较研究</w:t>
            </w:r>
          </w:p>
        </w:tc>
      </w:tr>
      <w:tr w14:paraId="49EE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5E49E8C2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3A0A926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3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42A0150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数据科学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12534E3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商业分析/供应链管理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20EC4EF4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Cosimo Arnesano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249D983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南加州大学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4CE665CE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商业分析与数据科学：数字化转型时代的智能洞察、优化与决策</w:t>
            </w:r>
          </w:p>
        </w:tc>
      </w:tr>
      <w:tr w14:paraId="46A7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6B0C2AF6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4CD9221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3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6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40FEB164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数据科学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05E810A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数据挖掘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32D3FA3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Manuel Gonzalez Canche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0933BDA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宾夕法尼亚大学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20FF215C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数字媒体与数据科学：信息技术时代下用户行为与社会网络探析</w:t>
            </w:r>
          </w:p>
        </w:tc>
      </w:tr>
      <w:tr w14:paraId="6548E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restart"/>
            <w:shd w:val="clear" w:color="auto" w:fill="FFFFFF"/>
            <w:vAlign w:val="center"/>
          </w:tcPr>
          <w:p w14:paraId="2463015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经管类</w:t>
            </w:r>
          </w:p>
        </w:tc>
        <w:tc>
          <w:tcPr>
            <w:tcW w:w="388" w:type="dxa"/>
            <w:shd w:val="clear" w:color="auto" w:fill="FFFFFF"/>
            <w:vAlign w:val="center"/>
          </w:tcPr>
          <w:p w14:paraId="05385CC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3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7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5E4CDC4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经济学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45AC0F7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土地经济/城市规划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74D97F5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Philip Allmendinger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56F6771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剑桥大学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48442CA3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土地经济与城市规划：智慧城市解决方案与区域资源布局探究</w:t>
            </w:r>
          </w:p>
        </w:tc>
      </w:tr>
      <w:tr w14:paraId="37F9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3987AF5C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255F3B2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3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8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516C519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经济学/公共管理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4383815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数字经济/公共政策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2707001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Robert Lyon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529B3F6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纽约大学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28DB61F4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数字经济与发展经济：碳减排与共享机制的可持续政策实践</w:t>
            </w:r>
          </w:p>
        </w:tc>
      </w:tr>
      <w:tr w14:paraId="0BDD6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6E95C56B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02C39D4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3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2576372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经济学/金融学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432F15D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金融计量经济学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0065797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Oliver Linton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4FF202C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剑桥大学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126174BF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金融经济学：时间序列建模、GARCH波动率分析与数据预测方法</w:t>
            </w:r>
          </w:p>
        </w:tc>
      </w:tr>
      <w:tr w14:paraId="7EAD6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7D54CD0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5CF09257">
            <w:pPr>
              <w:widowControl/>
              <w:jc w:val="center"/>
              <w:rPr>
                <w:rFonts w:hint="default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40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142AF81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金融学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4F7C2DB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金融市场</w:t>
            </w:r>
            <w:bookmarkStart w:id="1" w:name="_GoBack"/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|</w:t>
            </w:r>
            <w:bookmarkEnd w:id="1"/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投资学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69F2E1D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Michael Ashby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25CF6B9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剑桥大学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21607D2B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金融学：金融市场与投资管理的理论、应用与实证</w:t>
            </w:r>
          </w:p>
        </w:tc>
      </w:tr>
      <w:tr w14:paraId="5D43C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5E6DC0D6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338BC090">
            <w:pPr>
              <w:widowControl/>
              <w:jc w:val="center"/>
              <w:rPr>
                <w:rFonts w:hint="default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41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1367209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金融学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765A173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公司金融|财务管理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793AB64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Raghavendra Rau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5C6FE5A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剑桥大学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4BCA67D3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金融学：投资组合理论与企业项目估值实践</w:t>
            </w:r>
          </w:p>
        </w:tc>
      </w:tr>
      <w:tr w14:paraId="2F55C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0C5C0CBB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426110E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4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20D2B694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金融学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4EB30FE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投资管理/ESG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4674E27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Alexei Chekhlov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0D218E4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哥伦比亚大学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5B5C34D3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投资学：绿色金融视角下的ESG因子量化模型与资产组合优化</w:t>
            </w:r>
          </w:p>
        </w:tc>
      </w:tr>
      <w:tr w14:paraId="2E130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09E4F798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2FFB346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4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5316E18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金融工程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2FD7177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金融数学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69AD04A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Mete Soner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2D9775B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普林斯顿大学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268CF163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金融数学：市场优化与风险机制设计及分析</w:t>
            </w:r>
          </w:p>
        </w:tc>
      </w:tr>
      <w:tr w14:paraId="09955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2B0C76CF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1836A88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4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03EB5DB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商业分析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777805A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商业分析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527EE53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1F2329"/>
                <w:kern w:val="0"/>
                <w:sz w:val="13"/>
                <w:szCs w:val="13"/>
              </w:rPr>
              <w:t>Haiyuan Wang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692D26E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哥伦比亚大学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043A72A5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商业分析与金融学：Python数据分析在金融决策中的应用</w:t>
            </w:r>
          </w:p>
        </w:tc>
      </w:tr>
      <w:tr w14:paraId="620B3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045D1D9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51903E1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4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25AB8E9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管理学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418914B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创业管理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42EC614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Matthew Grimes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015C045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剑桥大学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421F052C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管理学：创业管理中的市场机遇探寻与创新策略</w:t>
            </w:r>
          </w:p>
        </w:tc>
      </w:tr>
      <w:tr w14:paraId="1A0BB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7EB3774F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45F517E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4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6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66A2925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数字营销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05D41D5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数字营销/传播学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3577873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Freddy Nager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458B7B0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南加州大学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12FAEBBF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数字营销与新媒体传播：品牌策略优化与KOL经济在AI时代下的发展探究</w:t>
            </w:r>
          </w:p>
        </w:tc>
      </w:tr>
      <w:tr w14:paraId="53442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EAC6B73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47A3064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4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7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5435848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市场营销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242AE12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品牌管理|消费者行为学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1C0B628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Omar Merlo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7BD020C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帝国理工学院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7A862132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市场营销：创新营销管理与战略营销革新探究</w:t>
            </w:r>
          </w:p>
        </w:tc>
      </w:tr>
      <w:tr w14:paraId="6D2D1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restart"/>
            <w:shd w:val="clear" w:color="auto" w:fill="FFFFFF"/>
            <w:vAlign w:val="center"/>
          </w:tcPr>
          <w:p w14:paraId="790D77B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人文及其他类</w:t>
            </w:r>
          </w:p>
        </w:tc>
        <w:tc>
          <w:tcPr>
            <w:tcW w:w="388" w:type="dxa"/>
            <w:shd w:val="clear" w:color="auto" w:fill="FFFFFF"/>
            <w:vAlign w:val="center"/>
          </w:tcPr>
          <w:p w14:paraId="14B7205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4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8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505FA61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教育学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00743C1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教育文化学/教育史学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06330A5E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Liam Francis Gearon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6F2165DA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牛津大学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6F4D6040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教育学与艺术史：国际视角下人文教育及文学发展的比较研究</w:t>
            </w:r>
          </w:p>
        </w:tc>
      </w:tr>
      <w:tr w14:paraId="39F28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755661DF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0DF5A15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4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9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233AA3A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教育学/语言学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1BA40CF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教育心理学/二语习得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7F9313E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Victoria Murphy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486FAED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牛津大学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7F93DFE5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教育学与语言学：双语教育对儿童语言能力发展的影响探析</w:t>
            </w:r>
          </w:p>
        </w:tc>
      </w:tr>
      <w:tr w14:paraId="0ED2D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2949CE48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0F7B5D60">
            <w:pPr>
              <w:widowControl/>
              <w:jc w:val="center"/>
              <w:rPr>
                <w:rFonts w:hint="default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50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0AB9EEB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历史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1A0796D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科学技术史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30332820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Richard Payne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359721E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芝加哥大学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01FD53D3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科技史：从图灵测试到生成式浪潮的技术演进、历史拐点与未来图景</w:t>
            </w:r>
          </w:p>
        </w:tc>
      </w:tr>
      <w:tr w14:paraId="5DAA9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9A9D61A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138788C0">
            <w:pPr>
              <w:widowControl/>
              <w:jc w:val="center"/>
              <w:rPr>
                <w:rFonts w:hint="default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51</w:t>
            </w:r>
          </w:p>
        </w:tc>
        <w:tc>
          <w:tcPr>
            <w:tcW w:w="1108" w:type="dxa"/>
            <w:shd w:val="clear" w:color="auto" w:fill="FFFFFF"/>
            <w:vAlign w:val="center"/>
          </w:tcPr>
          <w:p w14:paraId="5195F76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艺术科技</w:t>
            </w:r>
          </w:p>
        </w:tc>
        <w:tc>
          <w:tcPr>
            <w:tcW w:w="967" w:type="dxa"/>
            <w:shd w:val="clear" w:color="auto" w:fill="FFFFFF"/>
            <w:vAlign w:val="center"/>
          </w:tcPr>
          <w:p w14:paraId="0141197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电子艺术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397AA50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Alejandro Borsani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311AADC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罗德岛设计学院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678895BC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电子艺术与交互设计：以黑客帝国为例的VR技术与新媒体艺术策展</w:t>
            </w:r>
          </w:p>
        </w:tc>
      </w:tr>
      <w:tr w14:paraId="20AE3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594" w:type="dxa"/>
            <w:shd w:val="clear" w:color="auto" w:fill="FFFFFF"/>
            <w:vAlign w:val="center"/>
          </w:tcPr>
          <w:p w14:paraId="75786D93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28108542">
            <w:pPr>
              <w:widowControl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2075" w:type="dxa"/>
            <w:gridSpan w:val="2"/>
            <w:shd w:val="clear" w:color="auto" w:fill="FFFFFF"/>
            <w:vAlign w:val="center"/>
          </w:tcPr>
          <w:p w14:paraId="1CD4FB5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行业领域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31BADB39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企业专家姓名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6878F06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企业及职务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02AB58F8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课题名称</w:t>
            </w:r>
          </w:p>
        </w:tc>
      </w:tr>
      <w:tr w14:paraId="36D65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594" w:type="dxa"/>
            <w:vMerge w:val="restart"/>
            <w:shd w:val="clear" w:color="auto" w:fill="FFFFFF"/>
            <w:vAlign w:val="center"/>
          </w:tcPr>
          <w:p w14:paraId="562D397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  <w:t>企业专家实践课程</w:t>
            </w:r>
          </w:p>
        </w:tc>
        <w:tc>
          <w:tcPr>
            <w:tcW w:w="388" w:type="dxa"/>
            <w:shd w:val="clear" w:color="auto" w:fill="FFFFFF"/>
            <w:vAlign w:val="center"/>
          </w:tcPr>
          <w:p w14:paraId="20038DD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5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2075" w:type="dxa"/>
            <w:gridSpan w:val="2"/>
            <w:shd w:val="clear" w:color="auto" w:fill="FFFFFF"/>
            <w:vAlign w:val="center"/>
          </w:tcPr>
          <w:p w14:paraId="43651645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科技互联网行业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1814328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Lindsey Bier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59E245B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Meta公司AI产品主管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589A83C8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Meta社交平台AI功能迭代：用户行为分析与跨文化传播策略设计</w:t>
            </w:r>
          </w:p>
        </w:tc>
      </w:tr>
      <w:tr w14:paraId="426E0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575A4D4B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3E54245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5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075" w:type="dxa"/>
            <w:gridSpan w:val="2"/>
            <w:shd w:val="clear" w:color="auto" w:fill="FFFFFF"/>
            <w:vAlign w:val="center"/>
          </w:tcPr>
          <w:p w14:paraId="3D020AB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游戏影视与流媒体行业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12631AA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Peng Fan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7F0152C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HoYoverse 创意开发与内容制作部首席制片人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70D17049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《原神》IP动画开发实战：预算控制与多国团队协作管理</w:t>
            </w:r>
          </w:p>
        </w:tc>
      </w:tr>
      <w:tr w14:paraId="3FB44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119DF437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73AE89C4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5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2075" w:type="dxa"/>
            <w:gridSpan w:val="2"/>
            <w:shd w:val="clear" w:color="auto" w:fill="FFFFFF"/>
            <w:vAlign w:val="center"/>
          </w:tcPr>
          <w:p w14:paraId="09E80F5B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ESG与跨国组织发展行业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26A1BFF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Gabriel Nam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264D6EFF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咨询公司 Mercuri Urval 董事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03A7FC70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新能源车企高管评估：胜任力模型开发与全球招聘方案</w:t>
            </w:r>
          </w:p>
        </w:tc>
      </w:tr>
      <w:tr w14:paraId="5C5F3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415DFDFF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2412E07D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55</w:t>
            </w:r>
          </w:p>
        </w:tc>
        <w:tc>
          <w:tcPr>
            <w:tcW w:w="2075" w:type="dxa"/>
            <w:gridSpan w:val="2"/>
            <w:shd w:val="clear" w:color="auto" w:fill="FFFFFF"/>
            <w:vAlign w:val="center"/>
          </w:tcPr>
          <w:p w14:paraId="49F6F47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人工智能与风险投资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6E8AB6A2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Caitlin Cai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6B8795E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Rakuten乐天产品部门负责人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7DF5D93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生成式AI产品构建与创业者心智模型：理论与硅谷-亚洲实践</w:t>
            </w:r>
          </w:p>
        </w:tc>
      </w:tr>
      <w:tr w14:paraId="55DE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594" w:type="dxa"/>
            <w:vMerge w:val="continue"/>
            <w:shd w:val="clear" w:color="auto" w:fill="FFFFFF"/>
            <w:vAlign w:val="center"/>
          </w:tcPr>
          <w:p w14:paraId="269A49DA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FFFFFF"/>
            <w:vAlign w:val="center"/>
          </w:tcPr>
          <w:p w14:paraId="7B6EEA0C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5</w:t>
            </w: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  <w:lang w:val="en-US" w:eastAsia="zh-CN"/>
              </w:rPr>
              <w:t>6</w:t>
            </w:r>
          </w:p>
        </w:tc>
        <w:tc>
          <w:tcPr>
            <w:tcW w:w="2075" w:type="dxa"/>
            <w:gridSpan w:val="2"/>
            <w:shd w:val="clear" w:color="auto" w:fill="FFFFFF"/>
            <w:vAlign w:val="center"/>
          </w:tcPr>
          <w:p w14:paraId="6915DA66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智慧城市与政务数字化行业</w:t>
            </w:r>
          </w:p>
        </w:tc>
        <w:tc>
          <w:tcPr>
            <w:tcW w:w="1308" w:type="dxa"/>
            <w:shd w:val="clear" w:color="auto" w:fill="FFFFFF"/>
            <w:vAlign w:val="center"/>
          </w:tcPr>
          <w:p w14:paraId="066867A1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Joyce Edson</w:t>
            </w:r>
          </w:p>
        </w:tc>
        <w:tc>
          <w:tcPr>
            <w:tcW w:w="1660" w:type="dxa"/>
            <w:shd w:val="clear" w:color="auto" w:fill="FFFFFF"/>
            <w:vAlign w:val="center"/>
          </w:tcPr>
          <w:p w14:paraId="6E5C4687">
            <w:pPr>
              <w:widowControl/>
              <w:jc w:val="center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I3 System 协作副总裁</w:t>
            </w:r>
          </w:p>
        </w:tc>
        <w:tc>
          <w:tcPr>
            <w:tcW w:w="2568" w:type="dxa"/>
            <w:shd w:val="clear" w:color="auto" w:fill="FFFFFF"/>
            <w:vAlign w:val="center"/>
          </w:tcPr>
          <w:p w14:paraId="650AAE57">
            <w:pPr>
              <w:widowControl/>
              <w:jc w:val="left"/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微软雅黑 Light" w:hAnsi="微软雅黑 Light" w:eastAsia="微软雅黑 Light" w:cs="宋体"/>
                <w:color w:val="000000"/>
                <w:kern w:val="0"/>
                <w:sz w:val="13"/>
                <w:szCs w:val="13"/>
              </w:rPr>
              <w:t>城市应急数据平台开发：跨部门API集成与隐私保护方案</w:t>
            </w:r>
          </w:p>
        </w:tc>
      </w:tr>
    </w:tbl>
    <w:p w14:paraId="4B71771D">
      <w:pPr>
        <w:jc w:val="left"/>
        <w:rPr>
          <w:rFonts w:hint="eastAsia" w:ascii="仿宋_GB2312" w:hAnsi="宋体" w:eastAsia="仿宋_GB2312" w:cs="方正小标宋简体"/>
          <w:b/>
          <w:bCs/>
          <w:i/>
          <w:iCs/>
          <w:sz w:val="15"/>
          <w:szCs w:val="15"/>
        </w:rPr>
      </w:pPr>
    </w:p>
    <w:p w14:paraId="1B0E585F">
      <w:pPr>
        <w:pStyle w:val="9"/>
        <w:ind w:left="420" w:leftChars="200" w:firstLine="0" w:firstLineChars="0"/>
        <w:jc w:val="left"/>
        <w:rPr>
          <w:rFonts w:hint="eastAsia" w:ascii="仿宋_GB2312" w:hAnsi="宋体" w:eastAsia="仿宋_GB2312" w:cs="方正小标宋简体"/>
          <w:i/>
          <w:iCs/>
          <w:sz w:val="15"/>
          <w:szCs w:val="15"/>
        </w:rPr>
      </w:pPr>
    </w:p>
    <w:p w14:paraId="55BFCA76">
      <w:pPr>
        <w:pStyle w:val="9"/>
        <w:numPr>
          <w:ilvl w:val="0"/>
          <w:numId w:val="1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b/>
          <w:bCs/>
          <w:sz w:val="24"/>
        </w:rPr>
      </w:pPr>
      <w:r>
        <w:rPr>
          <w:rFonts w:hint="eastAsia" w:ascii="仿宋_GB2312" w:hAnsi="宋体" w:eastAsia="仿宋_GB2312" w:cs="方正小标宋简体"/>
          <w:b/>
          <w:bCs/>
          <w:sz w:val="24"/>
        </w:rPr>
        <w:t>先修课资源</w:t>
      </w:r>
    </w:p>
    <w:p w14:paraId="25F97DAF">
      <w:pPr>
        <w:spacing w:before="156" w:beforeLines="50"/>
        <w:ind w:left="29" w:firstLine="360" w:firstLineChars="20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sz w:val="18"/>
          <w:szCs w:val="18"/>
        </w:rPr>
        <w:t>针对有部分课程要求先修知识背景，但对相关知识掌握相对不足的学生，平台为参课学生提供系列先修录播课程，包括科研素养与论文写作，以及专业基础课程，如微积分、Python基础、R语言、热力学基础等。先修课会根据学生所选课程的学科方向进行匹配，参课学生可在开通并认证平台账号后自行学习。该类课程不设考勤、作业及考试。</w:t>
      </w:r>
    </w:p>
    <w:p w14:paraId="18ABAF18">
      <w:pPr>
        <w:pStyle w:val="9"/>
        <w:numPr>
          <w:ilvl w:val="0"/>
          <w:numId w:val="1"/>
        </w:numPr>
        <w:spacing w:before="156" w:beforeLines="50"/>
        <w:ind w:firstLineChars="0"/>
        <w:jc w:val="left"/>
        <w:rPr>
          <w:rFonts w:hint="eastAsia" w:ascii="仿宋_GB2312" w:hAnsi="宋体" w:eastAsia="仿宋_GB2312" w:cs="方正小标宋简体"/>
          <w:b/>
          <w:bCs/>
          <w:sz w:val="24"/>
        </w:rPr>
      </w:pPr>
      <w:r>
        <w:rPr>
          <w:rFonts w:hint="eastAsia" w:ascii="仿宋_GB2312" w:hAnsi="宋体" w:eastAsia="仿宋_GB2312" w:cs="方正小标宋简体"/>
          <w:b/>
          <w:bCs/>
          <w:sz w:val="24"/>
        </w:rPr>
        <w:t>课程查询</w:t>
      </w:r>
    </w:p>
    <w:p w14:paraId="60AA8EE9">
      <w:pPr>
        <w:spacing w:before="156" w:beforeLines="50"/>
        <w:ind w:left="440" w:firstLine="360" w:firstLineChars="20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sz w:val="18"/>
          <w:szCs w:val="18"/>
        </w:rPr>
        <w:t>请扫描下方二维码，查询课程介绍、课程大纲、先修要求、教授背景、时间安排等内容。</w:t>
      </w:r>
    </w:p>
    <w:p w14:paraId="5653CD14">
      <w:pPr>
        <w:spacing w:before="156" w:beforeLines="50"/>
        <w:ind w:firstLine="360" w:firstLineChars="20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ascii="仿宋_GB2312" w:hAnsi="宋体" w:eastAsia="仿宋_GB2312" w:cs="方正小标宋简体"/>
          <w:sz w:val="18"/>
          <w:szCs w:val="18"/>
        </w:rPr>
        <w:drawing>
          <wp:inline distT="0" distB="0" distL="0" distR="0">
            <wp:extent cx="1303655" cy="1303655"/>
            <wp:effectExtent l="0" t="0" r="0" b="0"/>
            <wp:docPr id="1026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13036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80A4F">
      <w:pPr>
        <w:spacing w:before="156" w:beforeLines="50"/>
        <w:ind w:firstLine="360" w:firstLineChars="20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</w:p>
    <w:p w14:paraId="287EB075">
      <w:pPr>
        <w:spacing w:before="156" w:beforeLines="50"/>
        <w:ind w:firstLine="360" w:firstLineChars="20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</w:p>
    <w:p w14:paraId="3DACE3F4">
      <w:pPr>
        <w:spacing w:before="156" w:beforeLines="50"/>
        <w:ind w:firstLine="360" w:firstLineChars="200"/>
        <w:jc w:val="left"/>
        <w:rPr>
          <w:rFonts w:hint="eastAsia" w:ascii="仿宋_GB2312" w:hAnsi="宋体" w:eastAsia="仿宋_GB2312" w:cs="方正小标宋简体"/>
          <w:sz w:val="18"/>
          <w:szCs w:val="18"/>
        </w:rPr>
      </w:pPr>
      <w:r>
        <w:rPr>
          <w:rFonts w:hint="eastAsia" w:ascii="仿宋_GB2312" w:hAnsi="宋体" w:eastAsia="仿宋_GB2312" w:cs="方正小标宋简体"/>
          <w:sz w:val="18"/>
          <w:szCs w:val="18"/>
        </w:rPr>
        <w:t>如对本说明有任何疑问，或遇有其他未尽事宜，请咨询项目办对接老师。</w:t>
      </w: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  <w:embedRegular r:id="rId1" w:fontKey="{56B0E2E7-9FE5-4B7E-9B18-09880315718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37737D8-C49F-411D-9C4C-923FD5E9860B}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  <w:embedRegular r:id="rId3" w:fontKey="{2761E2CA-C696-4F64-8256-CAB2A8AEC80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23990">
    <w:pPr>
      <w:pStyle w:val="3"/>
      <w:jc w:val="both"/>
    </w:pPr>
    <w:r>
      <w:drawing>
        <wp:inline distT="0" distB="0" distL="0" distR="0">
          <wp:extent cx="1835150" cy="603250"/>
          <wp:effectExtent l="0" t="0" r="0" b="6350"/>
          <wp:docPr id="4097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1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35150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)"/>
      <w:lvlJc w:val="left"/>
      <w:pPr>
        <w:ind w:left="860" w:hanging="440"/>
      </w:p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%1)"/>
      <w:lvlJc w:val="left"/>
      <w:pPr>
        <w:ind w:left="860" w:hanging="44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2">
    <w:nsid w:val="00000003"/>
    <w:multiLevelType w:val="multilevel"/>
    <w:tmpl w:val="00000003"/>
    <w:lvl w:ilvl="0" w:tentative="0">
      <w:start w:val="1"/>
      <w:numFmt w:val="decimal"/>
      <w:lvlText w:val="%1)"/>
      <w:lvlJc w:val="left"/>
      <w:pPr>
        <w:ind w:left="860" w:hanging="440"/>
      </w:p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3">
    <w:nsid w:val="00000004"/>
    <w:multiLevelType w:val="multilevel"/>
    <w:tmpl w:val="00000004"/>
    <w:lvl w:ilvl="0" w:tentative="0">
      <w:start w:val="1"/>
      <w:numFmt w:val="decimal"/>
      <w:lvlText w:val="%1)"/>
      <w:lvlJc w:val="left"/>
      <w:pPr>
        <w:ind w:left="860" w:hanging="440"/>
      </w:p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4">
    <w:nsid w:val="00000005"/>
    <w:multiLevelType w:val="multilevel"/>
    <w:tmpl w:val="00000005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  <w:color w:val="auto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D797F"/>
    <w:rsid w:val="404228F2"/>
    <w:rsid w:val="6E4A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1"/>
  </w:style>
  <w:style w:type="table" w:default="1" w:styleId="5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3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11">
    <w:name w:val="页脚 字符"/>
    <w:basedOn w:val="7"/>
    <w:link w:val="2"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ontractReview xmlns="http://schemas.wps.cn/vas-ai-hub/contract-review">
  <reviewItems>
    <reviewItem>
      <errorID>7e622f9b-6346-4074-b024-a64c487f53c3</errorID>
      <errorWord>课程</errorWord>
      <group>L1_AI</group>
      <groupName>深度校对</groupName>
      <ability>L2_AI_Word</ability>
      <abilityName>字词纠错</abilityName>
      <candidateList>
        <item>的课程</item>
      </candidateList>
      <explain/>
      <paraID>286B5EEB</paraID>
      <start>38</start>
      <end>41</end>
      <status>modified</status>
      <modifiedWord>的课程</modifiedWord>
      <trackRevisions>false</trackRevisions>
    </reviewItem>
    <reviewItem>
      <errorID>ed10c629-f522-4c42-8c3e-282c183c8700</errorID>
      <errorWord>，</errorWord>
      <group>L1_AI</group>
      <groupName>深度校对</groupName>
      <ability>L2_AI_Punc</ability>
      <abilityName>标点纠错</abilityName>
      <candidateList>
        <item>；</item>
      </candidateList>
      <explain/>
      <paraID>5A3B61D7</paraID>
      <start>56</start>
      <end>57</end>
      <status>modified</status>
      <modifiedWord>；</modifiedWord>
      <trackRevisions>false</trackRevisions>
    </reviewItem>
    <reviewItem>
      <errorID>665e0416-5896-4643-8d91-73155ac4dda9</errorID>
      <errorWord>报名成功的</errorWord>
      <group>L1_AI</group>
      <groupName>深度校对</groupName>
      <ability>L2_AI_Grammar</ability>
      <abilityName>语法纠错</abilityName>
      <candidateList>
        <item>该</item>
      </candidateList>
      <explain/>
      <paraID>5B5AFE4D</paraID>
      <start>49</start>
      <end>50</end>
      <status>modified</status>
      <modifiedWord>该</modifiedWord>
      <trackRevisions>false</trackRevisions>
    </reviewItem>
    <reviewItem>
      <errorID>85d87890-2af0-4ce4-b944-8b16486c6400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6C213E37</paraID>
      <start>15</start>
      <end>16</end>
      <status>modified</status>
      <modifiedWord>—</modifiedWord>
      <trackRevisions>false</trackRevisions>
    </reviewItem>
    <reviewItem>
      <errorID>34013850-14b6-4f8e-8814-4e4bca2e6d50</errorID>
      <errorWord>期中</errorWord>
      <group>L1_Word</group>
      <groupName>字词问题</groupName>
      <ability>L2_Typo</ability>
      <abilityName>字词错误</abilityName>
      <candidateList>
        <item>其中</item>
      </candidateList>
      <explain>〈名〉方位词。那里面：不知～奥妙｜气象站一共五个人，～三个是新来的。</explain>
      <paraID>2669B12A</paraID>
      <start>0</start>
      <end>2</end>
      <status>unmodified</status>
      <modifiedWord/>
      <trackRevisions>false</trackRevisions>
    </reviewItem>
    <reviewItem>
      <errorID>3798e605-e588-4e14-b9f2-a02ebf5fe63d</errorID>
      <errorWord>%</errorWord>
      <group>L1_AI</group>
      <groupName>深度校对</groupName>
      <ability>L2_AI_Punc</ability>
      <abilityName>标点纠错</abilityName>
      <candidateList>
        <item>%。</item>
      </candidateList>
      <explain/>
      <paraID> 2112780</paraID>
      <start>33</start>
      <end>35</end>
      <status>modified</status>
      <modifiedWord>%。</modifiedWord>
      <trackRevisions>false</trackRevisions>
    </reviewItem>
    <reviewItem>
      <errorID>18cabd35-5f0c-43d0-a4bb-f42348ade12e</errorID>
      <errorWord>阿尔茨海默症</errorWord>
      <group>L1_Knowledge</group>
      <groupName>知识性问题</groupName>
      <ability>L2_Term</ability>
      <abilityName>专业术语</abilityName>
      <candidateList>
        <item>阿尔茨海默病</item>
      </candidateList>
      <explain>医学名词[阿尔茨海默症]为不规范表述或旧称，其规范书面表述为[阿尔茨海默病]。</explain>
      <paraID>41AD306F</paraID>
      <start>4</start>
      <end>10</end>
      <status>unmodified</status>
      <modifiedWord/>
      <trackRevisions>false</trackRevisions>
    </reviewItem>
    <reviewItem>
      <errorID>85848b2c-4333-41f7-bfbc-6642e7d79f90</errorID>
      <errorWord>数字媒体</errorWord>
      <group>L1_AI</group>
      <groupName>深度校对</groupName>
      <ability>L2_AI_Word</ability>
      <abilityName>字词纠错</abilityName>
      <candidateList>
        <item>数据挖掘</item>
      </candidateList>
      <explain/>
      <paraID>20FF215C</paraID>
      <start>0</start>
      <end>4</end>
      <status>unmodified</status>
      <modifiedWord/>
      <trackRevisions>false</trackRevisions>
    </reviewItem>
    <reviewItem>
      <errorID>5779fb51-373c-47ce-bc31-f94cc235a60e</errorID>
      <errorWord>|</errorWord>
      <group>L1_Format</group>
      <groupName>格式问题</groupName>
      <ability>L2_HalfPunc</ability>
      <abilityName>全半角检查</abilityName>
      <candidateList>
        <item>｜</item>
      </candidateList>
      <explain>文本全半角错误。</explain>
      <paraID>4F7C2DB9</paraID>
      <start>4</start>
      <end>5</end>
      <status>unmodified</status>
      <modifiedWord/>
      <trackRevisions>false</trackRevisions>
    </reviewItem>
    <reviewItem>
      <errorID>fe9507fb-c4a5-4a2a-ab87-90abb164e1f8</errorID>
      <errorWord>|</errorWord>
      <group>L1_Format</group>
      <groupName>格式问题</groupName>
      <ability>L2_HalfPunc</ability>
      <abilityName>全半角检查</abilityName>
      <candidateList>
        <item>｜</item>
      </candidateList>
      <explain>文本全半角错误。</explain>
      <paraID>765A173F</paraID>
      <start>4</start>
      <end>5</end>
      <status>unmodified</status>
      <modifiedWord/>
      <trackRevisions>false</trackRevisions>
    </reviewItem>
    <reviewItem>
      <errorID>e1de8eff-9841-48b6-9644-46c66d493a32</errorID>
      <errorWord>|</errorWord>
      <group>L1_Format</group>
      <groupName>格式问题</groupName>
      <ability>L2_HalfPunc</ability>
      <abilityName>全半角检查</abilityName>
      <candidateList>
        <item>｜</item>
      </candidateList>
      <explain>文本全半角错误。</explain>
      <paraID>242AE121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D02B290-F8E4-41B2-B715-2AEDE2F9E54C}">
  <ds:schemaRefs/>
</ds:datastoreItem>
</file>

<file path=customXml/itemProps2.xml><?xml version="1.0" encoding="utf-8"?>
<ds:datastoreItem xmlns:ds="http://schemas.openxmlformats.org/officeDocument/2006/customXml" ds:itemID="{7dd0fdfb-4d35-407e-8182-b8cae98f70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890</Words>
  <Characters>962</Characters>
  <Paragraphs>584</Paragraphs>
  <TotalTime>16</TotalTime>
  <ScaleCrop>false</ScaleCrop>
  <LinksUpToDate>false</LinksUpToDate>
  <CharactersWithSpaces>977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2024-08-16T19:07:00Z</dcterms:created>
  <dc:creator>kennis</dc:creator>
  <cp:lastModifiedBy>浮生忆流年</cp:lastModifiedBy>
  <cp:lastPrinted>2025-02-13T04:30:00Z</cp:lastPrinted>
  <dcterms:modified xsi:type="dcterms:W3CDTF">2026-02-27T05:28:03Z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4f0f04195ac24c31a00d832ea5803774_23</vt:lpwstr>
  </property>
  <property fmtid="{D5CDD505-2E9C-101B-9397-08002B2CF9AE}" pid="4" name="GrammarlyDocumentId">
    <vt:lpwstr>699e079cb4735e2cf51f3d8d6973dc69798c388e867410556fa8f5522b7faed3</vt:lpwstr>
  </property>
  <property fmtid="{D5CDD505-2E9C-101B-9397-08002B2CF9AE}" pid="5" name="KSOTemplateDocerSaveRecord">
    <vt:lpwstr>eyJoZGlkIjoiNzgwMTllNjliZWM5MDQ4ZTk0ZmUwNDFiYWFkZmM0MzIiLCJ1c2VySWQiOiI0OTg5MTI2MDYifQ==</vt:lpwstr>
  </property>
</Properties>
</file>